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t>SODOO YAZILIM LİSANS, KURULUM VE HİZMET SÖZLEŞMESİ</w:t>
      </w:r>
    </w:p>
    <w:tbl>
      <w:tblPr>
        <w:tblStyle w:val="TableGrid"/>
        <w:tblW w:type="auto" w:w="0"/>
        <w:jc w:val="center"/>
        <w:tblLayout w:type="fixed"/>
        <w:tblLook w:firstColumn="1" w:firstRow="1" w:lastColumn="0" w:lastRow="0" w:noHBand="0" w:noVBand="1" w:val="04A0"/>
      </w:tblPr>
      <w:tblGrid>
        <w:gridCol w:w="2016"/>
        <w:gridCol w:w="4321"/>
        <w:gridCol w:w="2304"/>
        <w:gridCol w:w="1584"/>
      </w:tblGrid>
      <w:tr>
        <w:tc>
          <w:tcPr>
            <w:tcW w:type="dxa" w:w="2016"/>
            <w:shd w:val="clear" w:color="auto" w:fill="E6F2F3"/>
          </w:tcPr>
          <w:p>
            <w:pPr>
              <w:spacing w:after="0" w:before="0"/>
            </w:pPr>
            <w:r>
              <w:rPr>
                <w:b/>
              </w:rPr>
              <w:t>Sözleşme No</w:t>
            </w:r>
          </w:p>
        </w:tc>
        <w:tc>
          <w:tcPr>
            <w:tcW w:type="dxa" w:w="4321"/>
          </w:tcPr>
          <w:p>
            <w:pPr>
              <w:spacing w:after="0" w:before="0"/>
            </w:pPr>
            <w:r>
              <w:rPr>
                <w:color w:val="92400E"/>
                <w:shd w:val="clear" w:color="auto" w:fill="FEF3C7"/>
              </w:rPr>
              <w:t>[sözleşme no]</w:t>
            </w:r>
          </w:p>
        </w:tc>
        <w:tc>
          <w:tcPr>
            <w:tcW w:type="dxa" w:w="2304"/>
            <w:shd w:val="clear" w:color="auto" w:fill="E6F2F3"/>
          </w:tcPr>
          <w:p>
            <w:pPr>
              <w:spacing w:after="0" w:before="0"/>
            </w:pPr>
            <w:r>
              <w:rPr>
                <w:b/>
              </w:rPr>
              <w:t>Düzenleme Tarihi</w:t>
            </w:r>
          </w:p>
        </w:tc>
        <w:tc>
          <w:tcPr>
            <w:tcW w:type="dxa" w:w="1584"/>
          </w:tcPr>
          <w:p>
            <w:pPr>
              <w:spacing w:after="0" w:before="0"/>
            </w:pPr>
            <w:r>
              <w:rPr>
                <w:color w:val="92400E"/>
                <w:shd w:val="clear" w:color="auto" w:fill="FEF3C7"/>
              </w:rPr>
              <w:t>[tarih]</w:t>
            </w:r>
          </w:p>
        </w:tc>
      </w:tr>
      <w:tr>
        <w:tc>
          <w:tcPr>
            <w:tcW w:type="dxa" w:w="2016"/>
            <w:shd w:val="clear" w:color="auto" w:fill="E6F2F3"/>
          </w:tcPr>
          <w:p>
            <w:pPr>
              <w:spacing w:after="0" w:before="0"/>
            </w:pPr>
            <w:r>
              <w:rPr>
                <w:b/>
              </w:rPr>
              <w:t>Sözleşme Metni</w:t>
            </w:r>
          </w:p>
        </w:tc>
        <w:tc>
          <w:tcPr>
            <w:tcW w:type="dxa" w:w="4321"/>
          </w:tcPr>
          <w:p>
            <w:pPr>
              <w:spacing w:after="0" w:before="0"/>
            </w:pPr>
            <w:r>
              <w:rPr/>
              <w:t>SODOO-AGR-TR v2.2 (12.10.2026)</w:t>
            </w:r>
          </w:p>
        </w:tc>
        <w:tc>
          <w:tcPr>
            <w:tcW w:type="dxa" w:w="2304"/>
            <w:shd w:val="clear" w:color="auto" w:fill="E6F2F3"/>
          </w:tcPr>
          <w:p>
            <w:pPr>
              <w:spacing w:after="0" w:before="0"/>
            </w:pPr>
            <w:r>
              <w:rPr>
                <w:b/>
              </w:rPr>
              <w:t>Teklif / Sipariş</w:t>
            </w:r>
          </w:p>
        </w:tc>
        <w:tc>
          <w:tcPr>
            <w:tcW w:type="dxa" w:w="1584"/>
          </w:tcPr>
          <w:p>
            <w:pPr>
              <w:spacing w:after="0" w:before="0"/>
            </w:pPr>
            <w:r>
              <w:rPr>
                <w:color w:val="92400E"/>
                <w:shd w:val="clear" w:color="auto" w:fill="FEF3C7"/>
              </w:rPr>
              <w:t>[teklif no]</w:t>
            </w:r>
          </w:p>
        </w:tc>
      </w:tr>
    </w:tbl>
    <w:p/>
    <w:p>
      <w:pPr>
        <w:pStyle w:val="Heading2"/>
      </w:pPr>
      <w:r>
        <w:rPr/>
        <w:t>1. TARAFLAR</w:t>
      </w:r>
    </w:p>
    <w:p>
      <w:r>
        <w:rPr>
          <w:b/>
        </w:rPr>
        <w:t>1.1 Lisans Veren ve Hizmet Sağlayıcı:</w:t>
      </w:r>
      <w:r>
        <w:rPr/>
        <w:t xml:space="preserve"> </w:t>
      </w:r>
      <w:r>
        <w:rPr>
          <w:color w:val="92400E"/>
          <w:shd w:val="clear" w:color="auto" w:fill="FEF3C7"/>
        </w:rPr>
        <w:t>[PORTWARE]</w:t>
      </w:r>
      <w:r>
        <w:rPr/>
        <w:t xml:space="preserve">, adres: </w:t>
      </w:r>
      <w:r>
        <w:rPr>
          <w:color w:val="92400E"/>
          <w:shd w:val="clear" w:color="auto" w:fill="FEF3C7"/>
        </w:rPr>
        <w:t>[adres]</w:t>
      </w:r>
      <w:r>
        <w:rPr/>
        <w:t xml:space="preserve">, </w:t>
      </w:r>
      <w:r>
        <w:rPr>
          <w:color w:val="92400E"/>
          <w:shd w:val="clear" w:color="auto" w:fill="FEF3C7"/>
        </w:rPr>
        <w:t>[vergi dairesi ve numarası]</w:t>
      </w:r>
      <w:r>
        <w:rPr/>
        <w:t xml:space="preserve">, e-posta: info@portware.io (bundan sonra </w:t>
      </w:r>
      <w:r>
        <w:rPr>
          <w:b/>
        </w:rPr>
        <w:t>"PORTWARE"</w:t>
      </w:r>
      <w:r>
        <w:rPr/>
        <w:t>).</w:t>
      </w:r>
    </w:p>
    <w:p>
      <w:r>
        <w:rPr>
          <w:b/>
        </w:rPr>
        <w:t>1.2 Lisans Alan ve Hizmet Alan:</w:t>
      </w:r>
      <w:r>
        <w:rPr/>
        <w:t xml:space="preserve"> </w:t>
      </w:r>
      <w:r>
        <w:rPr>
          <w:color w:val="92400E"/>
          <w:shd w:val="clear" w:color="auto" w:fill="FEF3C7"/>
        </w:rPr>
        <w:t>[müşteri ticaret unvanı]</w:t>
      </w:r>
      <w:r>
        <w:rPr/>
        <w:t xml:space="preserve">, adres: </w:t>
      </w:r>
      <w:r>
        <w:rPr>
          <w:color w:val="92400E"/>
          <w:shd w:val="clear" w:color="auto" w:fill="FEF3C7"/>
        </w:rPr>
        <w:t>[adres]</w:t>
      </w:r>
      <w:r>
        <w:rPr/>
        <w:t xml:space="preserve">, </w:t>
      </w:r>
      <w:r>
        <w:rPr>
          <w:color w:val="92400E"/>
          <w:shd w:val="clear" w:color="auto" w:fill="FEF3C7"/>
        </w:rPr>
        <w:t>[vergi dairesi ve numarası]</w:t>
      </w:r>
      <w:r>
        <w:rPr/>
        <w:t xml:space="preserve">, e-posta: </w:t>
      </w:r>
      <w:r>
        <w:rPr>
          <w:color w:val="92400E"/>
          <w:shd w:val="clear" w:color="auto" w:fill="FEF3C7"/>
        </w:rPr>
        <w:t>[e-posta]</w:t>
      </w:r>
      <w:r>
        <w:rPr/>
        <w:t xml:space="preserve">, yetkili temsilci: </w:t>
      </w:r>
      <w:r>
        <w:rPr>
          <w:color w:val="92400E"/>
          <w:shd w:val="clear" w:color="auto" w:fill="FEF3C7"/>
        </w:rPr>
        <w:t>[yetkili temsilci]</w:t>
      </w:r>
      <w:r>
        <w:rPr/>
        <w:t xml:space="preserve"> (bundan sonra </w:t>
      </w:r>
      <w:r>
        <w:rPr>
          <w:b/>
        </w:rPr>
        <w:t>"Müşteri"</w:t>
      </w:r>
      <w:r>
        <w:rPr/>
        <w:t>).</w:t>
      </w:r>
    </w:p>
    <w:p>
      <w:r>
        <w:rPr>
          <w:b/>
        </w:rPr>
        <w:t>1.3</w:t>
      </w:r>
      <w:r>
        <w:rPr/>
        <w:t xml:space="preserve"> PORTWARE ve Müşteri ayrı ayrı </w:t>
      </w:r>
      <w:r>
        <w:rPr>
          <w:b/>
        </w:rPr>
        <w:t>"Taraf"</w:t>
      </w:r>
      <w:r>
        <w:rPr/>
        <w:t xml:space="preserve">, birlikte </w:t>
      </w:r>
      <w:r>
        <w:rPr>
          <w:b/>
        </w:rPr>
        <w:t>"Taraflar"</w:t>
      </w:r>
      <w:r>
        <w:rPr/>
        <w:t xml:space="preserve"> olarak anılır. Taraflar tacir sıfatıyla ve ticari işletmeleriyle ilgili olarak hareket ettiklerini beyan eder. Bu Sözleşme yalnızca işletmeler arası (B2B) ilişkiler için düzenlenmiştir; 6502 sayılı Tüketicinin Korunması Hakkında Kanun kapsamındaki tüketici işlemlerine uygulanmaz.</w:t>
      </w:r>
    </w:p>
    <w:p>
      <w:pPr>
        <w:pStyle w:val="Heading2"/>
      </w:pPr>
      <w:r>
        <w:rPr/>
        <w:t>2. TANIMLAR</w:t>
      </w:r>
    </w:p>
    <w:p>
      <w:r>
        <w:rPr/>
        <w:t>Bu Sözleşme'de büyük harfle başlayan terimler aşağıdaki anlamları taşır:</w:t>
      </w:r>
    </w:p>
    <w:p>
      <w:pPr>
        <w:pStyle w:val="ListBullet"/>
      </w:pPr>
      <w:r>
        <w:rPr>
          <w:b/>
        </w:rPr>
        <w:t>Yazılım / SODOO:</w:t>
      </w:r>
      <w:r>
        <w:rPr/>
        <w:t xml:space="preserve"> PORTWARE tarafından "SODOO İş Yönetim Sistemi" (İngilizce: Business Resource Planning, BRP) adıyla sunulan; Odoo 19 Community çekirdeği üzerine geliştirilmiş, PORTWARE tarafından derlenen, yapılandırılan ve test edilen yazılım dağıtımı; buna dahil PORTWARE Bileşenleri, Açık Kaynak Bileşenler, SODOO Office, Cowork yapay zekâ asistanı ve ilgili Belgeler.</w:t>
      </w:r>
    </w:p>
    <w:p>
      <w:pPr>
        <w:pStyle w:val="ListBullet"/>
      </w:pPr>
      <w:r>
        <w:rPr>
          <w:b/>
        </w:rPr>
        <w:t>PORTWARE Bileşenleri:</w:t>
      </w:r>
      <w:r>
        <w:rPr/>
        <w:t xml:space="preserve"> Yazılım içinde PORTWARE'e ait olan veya PORTWARE'in hak sahibinden alt lisans verme yetkisiyle lisansladığı modüller, tasarımlar, şablonlar, betikler, yapılandırmalar ve Belgeler.</w:t>
      </w:r>
    </w:p>
    <w:p>
      <w:pPr>
        <w:pStyle w:val="ListBullet"/>
      </w:pPr>
      <w:r>
        <w:rPr>
          <w:b/>
        </w:rPr>
        <w:t>Açık Kaynak Bileşenler:</w:t>
      </w:r>
      <w:r>
        <w:rPr/>
        <w:t xml:space="preserve"> Odoo Community çekirdeği ile Yazılım'a dahil olup kendi açık kaynak lisanslarıyla (LGPL-3, AGPL-3, GPL, MIT, Apache vb.) dağıtılan bileşenler (Ek-6).</w:t>
      </w:r>
    </w:p>
    <w:p>
      <w:pPr>
        <w:pStyle w:val="ListBullet"/>
      </w:pPr>
      <w:r>
        <w:rPr>
          <w:b/>
        </w:rPr>
        <w:t>Üçüncü Taraf Ürün ve Hizmetleri:</w:t>
      </w:r>
      <w:r>
        <w:rPr/>
        <w:t xml:space="preserve"> PORTWARE'e ait olmayan ve kendi sözleşme ve fiyat koşullarına tabi ürün ve hizmetler; örneğin sunucu ve bulut sağlayıcıları, e-Fatura / e-Arşiv özel entegratörleri, yapay zekâ sağlayıcıları, SMS, e-posta, ödeme, banka, kargo ve harita hizmetleri ile üçüncü kişilere ait ticari modüller.</w:t>
      </w:r>
    </w:p>
    <w:p>
      <w:pPr>
        <w:pStyle w:val="ListBullet"/>
      </w:pPr>
      <w:r>
        <w:rPr>
          <w:b/>
        </w:rPr>
        <w:t>Kullanıcı:</w:t>
      </w:r>
      <w:r>
        <w:rPr/>
        <w:t xml:space="preserve"> Yazılım'a kendi adına tanımlanmış kullanıcı adıyla erişen, Müşteri'nin çalışanı veya Müşteri tarafından yetkilendirilmiş gerçek kişi (adlandırılmış kullanıcı). Portal kullanıcıları (müşteri, tedarikçi, bayi hesapları) ile insan tarafından kullanılmayan teknik ve sistem hesapları Kullanıcı sayılmaz.</w:t>
      </w:r>
    </w:p>
    <w:p>
      <w:pPr>
        <w:pStyle w:val="ListBullet"/>
      </w:pPr>
      <w:r>
        <w:rPr>
          <w:b/>
        </w:rPr>
        <w:t>Lisans Bedeli:</w:t>
      </w:r>
      <w:r>
        <w:rPr/>
        <w:t xml:space="preserve"> Kalıcı kullanım hakkı karşılığı Kullanıcı başına bir defaya mahsus ödenen bedel.</w:t>
      </w:r>
    </w:p>
    <w:p>
      <w:pPr>
        <w:pStyle w:val="ListBullet"/>
      </w:pPr>
      <w:r>
        <w:rPr>
          <w:b/>
        </w:rPr>
        <w:t>Bakım ve Güncelleme Hizmeti:</w:t>
      </w:r>
      <w:r>
        <w:rPr/>
        <w:t xml:space="preserve"> Madde 8'de tanımlanan, yıllık dönemler hâlinde sunulan, isteğe bağlı hizmet.</w:t>
      </w:r>
    </w:p>
    <w:p>
      <w:pPr>
        <w:pStyle w:val="ListBullet"/>
      </w:pPr>
      <w:r>
        <w:rPr>
          <w:b/>
        </w:rPr>
        <w:t>Destek Hizmeti:</w:t>
      </w:r>
      <w:r>
        <w:rPr/>
        <w:t xml:space="preserve"> Madde 9 ve Ek-3'te tanımlanan teknik destek hizmetleri.</w:t>
      </w:r>
    </w:p>
    <w:p>
      <w:pPr>
        <w:pStyle w:val="ListBullet"/>
      </w:pPr>
      <w:r>
        <w:rPr>
          <w:b/>
        </w:rPr>
        <w:t>Sunucu ve Barındırma Hizmeti:</w:t>
      </w:r>
      <w:r>
        <w:rPr/>
        <w:t xml:space="preserve"> Müşteri'nin talebi üzerine PORTWARE tarafından temin edilen sunucu kaynağı ve bu kaynağın işletilmesi hizmeti (Madde 6, Ek-2).</w:t>
      </w:r>
    </w:p>
    <w:p>
      <w:pPr>
        <w:pStyle w:val="ListBullet"/>
      </w:pPr>
      <w:r>
        <w:rPr>
          <w:b/>
        </w:rPr>
        <w:t>Standart Devreye Alma:</w:t>
      </w:r>
      <w:r>
        <w:rPr/>
        <w:t xml:space="preserve"> Madde 5.4'te kapsamı tanımlanan ve Lisans Bedeli'ne dahil olan kurulum ve ilk yapılandırma hizmeti.</w:t>
      </w:r>
    </w:p>
    <w:p>
      <w:pPr>
        <w:pStyle w:val="ListBullet"/>
      </w:pPr>
      <w:r>
        <w:rPr>
          <w:b/>
        </w:rPr>
        <w:t>Profesyonel Hizmetler:</w:t>
      </w:r>
      <w:r>
        <w:rPr/>
        <w:t xml:space="preserve"> Standart Devreye Alma'nın kapsamı dışında kalan kurulum ve devreye alma işleri ile veri aktarımı, ek eğitim, danışmanlık, entegrasyon ve özel geliştirme hizmetleri (Madde 10, Ek-5).</w:t>
      </w:r>
    </w:p>
    <w:p>
      <w:pPr>
        <w:pStyle w:val="ListBullet"/>
      </w:pPr>
      <w:r>
        <w:rPr>
          <w:b/>
        </w:rPr>
        <w:t>Kurulum Ortamı:</w:t>
      </w:r>
      <w:r>
        <w:rPr/>
        <w:t xml:space="preserve"> Yazılım'ın çalıştığı sunucu veya bilgisayar: PORTWARE Bulut, Müşteri'nin bulut hesabı, Müşteri'nin şirket içi sunucusu veya Müşteri'nin bilgisayarı.</w:t>
      </w:r>
    </w:p>
    <w:p>
      <w:pPr>
        <w:pStyle w:val="ListBullet"/>
      </w:pPr>
      <w:r>
        <w:rPr>
          <w:b/>
        </w:rPr>
        <w:t>Müşteri Verisi:</w:t>
      </w:r>
      <w:r>
        <w:rPr/>
        <w:t xml:space="preserve"> Müşteri'nin ve Kullanıcılar'ın Yazılım'a girdiği, yüklediği veya Yazılım'ın Müşteri adına ürettiği her türlü veri, belge ve kayıt.</w:t>
      </w:r>
    </w:p>
    <w:p>
      <w:pPr>
        <w:pStyle w:val="ListBullet"/>
      </w:pPr>
      <w:r>
        <w:rPr>
          <w:b/>
        </w:rPr>
        <w:t>Sipariş Formu:</w:t>
      </w:r>
      <w:r>
        <w:rPr/>
        <w:t xml:space="preserve"> Kullanıcı sayısını, satın alınan kalemleri, bedelleri, Kurulum Ortamı tercihini ve ödeme planını gösteren, PORTWARE teklifine dayanan ve bu Sözleşme'nin ayrılmaz parçası olan belge (Ek-1).</w:t>
      </w:r>
    </w:p>
    <w:p>
      <w:pPr>
        <w:pStyle w:val="ListBullet"/>
      </w:pPr>
      <w:r>
        <w:rPr>
          <w:b/>
        </w:rPr>
        <w:t>Sürüm / Güncelleme:</w:t>
      </w:r>
      <w:r>
        <w:rPr/>
        <w:t xml:space="preserve"> Yazılım'ın PORTWARE tarafından yayımlanan yeni ana sürümü (Sürüm) veya düzeltme, iyileştirme ve güvenlik paketleri (Güncelleme).</w:t>
      </w:r>
    </w:p>
    <w:p>
      <w:pPr>
        <w:pStyle w:val="ListBullet"/>
      </w:pPr>
      <w:r>
        <w:rPr>
          <w:b/>
        </w:rPr>
        <w:t>Hata:</w:t>
      </w:r>
      <w:r>
        <w:rPr/>
        <w:t xml:space="preserve"> Yazılım'ın Belgeler'de tanımlanan bir işlevi esaslı olarak yerine getirmemesi ve bu durumun tekrarlanabilir şekilde gösterilebilmesi.</w:t>
      </w:r>
    </w:p>
    <w:p>
      <w:pPr>
        <w:pStyle w:val="ListBullet"/>
      </w:pPr>
      <w:r>
        <w:rPr>
          <w:b/>
        </w:rPr>
        <w:t>Belgeler:</w:t>
      </w:r>
      <w:r>
        <w:rPr/>
        <w:t xml:space="preserve"> PORTWARE'in yayımladığı kullanım kılavuzları, uygulama kılavuzları ve teknik açıklamalar.</w:t>
      </w:r>
    </w:p>
    <w:p>
      <w:pPr>
        <w:pStyle w:val="ListBullet"/>
      </w:pPr>
      <w:r>
        <w:rPr>
          <w:b/>
        </w:rPr>
        <w:t>İş Günü / İş Saati:</w:t>
      </w:r>
      <w:r>
        <w:rPr/>
        <w:t xml:space="preserve"> Türkiye'deki resmî tatiller hariç pazartesi–cuma günleri; iş saatleri 09:00–18:00 (Türkiye saati).</w:t>
      </w:r>
    </w:p>
    <w:p>
      <w:pPr>
        <w:pStyle w:val="ListBullet"/>
      </w:pPr>
      <w:r>
        <w:rPr>
          <w:b/>
        </w:rPr>
        <w:t>Yazılı:</w:t>
      </w:r>
      <w:r>
        <w:rPr/>
        <w:t xml:space="preserve"> Islak imzalı belge, güvenli elektronik imzalı belge, kayıtlı elektronik posta (KEP) ve Madde 26'da düzenlenen çevrim içi imza; operasyonel konularda ayrıca Taraflar'ın bildirdiği adreslerden gönderilen e-posta.</w:t>
      </w:r>
    </w:p>
    <w:p>
      <w:pPr>
        <w:pStyle w:val="Heading2"/>
      </w:pPr>
      <w:r>
        <w:rPr/>
        <w:t>3. SÖZLEŞMENİN KONUSU, BELGELER VE ÖNCELİK SIRASI</w:t>
      </w:r>
    </w:p>
    <w:p>
      <w:r>
        <w:rPr>
          <w:b/>
        </w:rPr>
        <w:t>3.1</w:t>
      </w:r>
      <w:r>
        <w:rPr/>
        <w:t xml:space="preserve"> Bu Sözleşme; Yazılım'ın Müşteri'ye kalıcı kullanım hakkıyla lisanslanmasının, isteğe bağlı Bakım ve Güncelleme Hizmeti'nin, Destek Hizmeti'nin, Müşteri tarafından seçilmesi hâlinde Sunucu ve Barındırma Hizmeti'nin ve Profesyonel Hizmetler'in koşullarını düzenler.</w:t>
      </w:r>
    </w:p>
    <w:p>
      <w:r>
        <w:rPr>
          <w:b/>
        </w:rPr>
        <w:t>3.2</w:t>
      </w:r>
      <w:r>
        <w:rPr/>
        <w:t xml:space="preserve"> Aşağıdaki ekler Sözleşme'nin ayrılmaz parçasıdır:</w:t>
      </w:r>
    </w:p>
    <w:p>
      <w:pPr>
        <w:pStyle w:val="ListBullet"/>
      </w:pPr>
      <w:r>
        <w:rPr/>
        <w:t>Ek-1 Sipariş Formu ve Fiyat Eki</w:t>
      </w:r>
    </w:p>
    <w:p>
      <w:pPr>
        <w:pStyle w:val="ListBullet"/>
      </w:pPr>
      <w:r>
        <w:rPr/>
        <w:t>Ek-2 Sunucu, Barındırma ve Kurulum Ortamı Eki</w:t>
      </w:r>
    </w:p>
    <w:p>
      <w:pPr>
        <w:pStyle w:val="ListBullet"/>
      </w:pPr>
      <w:r>
        <w:rPr/>
        <w:t>Ek-3 Destek ve Hizmet Seviyesi Eki (SLA)</w:t>
      </w:r>
    </w:p>
    <w:p>
      <w:pPr>
        <w:pStyle w:val="ListBullet"/>
      </w:pPr>
      <w:r>
        <w:rPr/>
        <w:t>Ek-4 Kişisel Verilerin İşlenmesine İlişkin Ek (KVKK / GDPR)</w:t>
      </w:r>
    </w:p>
    <w:p>
      <w:pPr>
        <w:pStyle w:val="ListBullet"/>
      </w:pPr>
      <w:r>
        <w:rPr/>
        <w:t>Ek-5 Profesyonel Hizmetler ve Özel Geliştirme Eki</w:t>
      </w:r>
    </w:p>
    <w:p>
      <w:pPr>
        <w:pStyle w:val="ListBullet"/>
      </w:pPr>
      <w:r>
        <w:rPr/>
        <w:t>Ek-6 Açık Kaynak ve Üçüncü Taraf Bileşenler Eki</w:t>
      </w:r>
    </w:p>
    <w:p>
      <w:pPr>
        <w:pStyle w:val="ListBullet"/>
      </w:pPr>
      <w:r>
        <w:rPr/>
        <w:t>Ek-7 Özel Hükümler</w:t>
      </w:r>
    </w:p>
    <w:p>
      <w:r>
        <w:rPr>
          <w:b/>
        </w:rPr>
        <w:t>3.3</w:t>
      </w:r>
      <w:r>
        <w:rPr/>
        <w:t xml:space="preserve"> Belgeler arasında çelişki olması hâlinde öncelik sırası şöyledir: Ek-7 Özel Hükümler, Ek-1 Sipariş Formu, kişisel verilerle ilgili konularda Ek-4, bu Ana Sözleşme, diğer Ekler. Müşteri'nin satın alma siparişlerinde, tedarikçi portallarında veya kendi genel koşullarında yer alan ve bu Sözleşme'ye aykırı ya da ek yükümlülük getiren hükümler, PORTWARE tarafından Yazılı olarak ayrıca kabul edilmedikçe uygulanmaz.</w:t>
      </w:r>
    </w:p>
    <w:p>
      <w:r>
        <w:rPr>
          <w:b/>
        </w:rPr>
        <w:t>3.4 Bilgilendirme ve kabul.</w:t>
      </w:r>
      <w:r>
        <w:rPr/>
        <w:t xml:space="preserve"> Müşteri; bu Sözleşme'nin metnini imzadan önce incelediğini, PORTWARE'in sözleşme hükümleri hakkında açıkça bilgi verdiğini, hükümleri müzakere etme ve değişiklik önerme imkânının tanındığını, özellikle Madde 4.6 (açık kaynak), 5.4 (Standart Devreye Alma'nın kapsamı), 6 (sunucu dahil değildir), 7 (bedeller ve para birimi), 13 (garanti), 18 (sorumluluğun sınırlandırılması), 21 (fesih) ve 27 (yetki) hükümlerini okuyup anladığını ve kabul ettiğini beyan eder (6098 sayılı Türk Borçlar Kanunu m. 20–25).</w:t>
      </w:r>
    </w:p>
    <w:p>
      <w:pPr>
        <w:pStyle w:val="Heading2"/>
      </w:pPr>
      <w:r>
        <w:rPr/>
        <w:t>4. LİSANS</w:t>
      </w:r>
    </w:p>
    <w:p>
      <w:r>
        <w:rPr>
          <w:b/>
        </w:rPr>
        <w:t>4.1 Kalıcı kullanım hakkı.</w:t>
      </w:r>
      <w:r>
        <w:rPr/>
        <w:t xml:space="preserve"> Lisans Bedeli'nin tamamen ödenmesiyle PORTWARE, Müşteri'ye Sipariş Formu'nda belirtilen Kullanıcı sayısı için Yazılım'ın teslim edilen Sürümünü ve Bakım ve Güncelleme Hizmeti süresince teslim edilen Güncelleme ve Sürümlerini </w:t>
      </w:r>
      <w:r>
        <w:rPr>
          <w:b/>
        </w:rPr>
        <w:t>süresiz, münhasır olmayan, devredilemez ve alt lisans verilemez</w:t>
      </w:r>
      <w:r>
        <w:rPr/>
        <w:t xml:space="preserve"> şekilde kullanma hakkı tanır. Yıllık lisans yenilemesi, modül başına ücret veya kullanım süresi sınırı yoktur. Bakım ve Güncelleme Hizmeti'nin sona ermesi kullanım hakkını sona erdirmez.</w:t>
      </w:r>
    </w:p>
    <w:p>
      <w:r>
        <w:rPr>
          <w:b/>
        </w:rPr>
        <w:t>4.2 Tanınan haklar.</w:t>
      </w:r>
      <w:r>
        <w:rPr/>
        <w:t xml:space="preserve"> 5846 sayılı Fikir ve Sanat Eserleri Kanunu m. 48 ve 52 uyarınca Müşteri'ye tanınan haklar ayrı ayrı şunlardır: (a) Yazılım'ı Kurulum Ortamı'nda yükleme, çalıştırma ve iç işlerinde kullanma hakkı; (b) yalnızca kurulum, yedekleme, felaket kurtarma ve test amacıyla gerekli ölçüde çoğaltma hakkı; (c) Yazılım'ın sunduğu ayar, yapılandırma, rapor ve iş akışı araçlarıyla Yazılım'ı kendi süreçlerine uyarlama hakkı. Bu haklar dünya genelinde geçerlidir. Burada açıkça sayılmayan haklar (özellikle yayma, kiralama, umuma iletim ve PORTWARE Bileşenleri üzerinde işleme hakkı) PORTWARE'de saklıdır.</w:t>
      </w:r>
    </w:p>
    <w:p>
      <w:r>
        <w:rPr>
          <w:b/>
        </w:rPr>
        <w:t>4.3 Kapsam.</w:t>
      </w:r>
      <w:r>
        <w:rPr/>
        <w:t xml:space="preserve"> Lisans; Yazılım'ın Sipariş Formu tarihinde yayımlanmış tüm uygulamalarını ve SODOO modüllerini kapsar. Müşteri bünyesinde sınırsız sayıda şirket ve kayıt tanımlanabilir. Lisans, bir canlı (üretim) ortamı ile bir test ortamı ve bunların yedekleri için geçerlidir; ek canlı ortamlar PORTWARE'in Yazılı onayına tabidir.</w:t>
      </w:r>
    </w:p>
    <w:p>
      <w:r>
        <w:rPr>
          <w:b/>
        </w:rPr>
        <w:t>4.4 Adlandırılmış kullanıcı.</w:t>
      </w:r>
      <w:r>
        <w:rPr/>
        <w:t xml:space="preserve"> Her Kullanıcı hesabı tek bir gerçek kişiye aittir; hesapların birden fazla kişi tarafından ortak kullanılması yasaktır. Ayrılan bir çalışanın hesabı arşivlenerek yerine yeni bir Kullanıcı tanımlanabilir.</w:t>
      </w:r>
    </w:p>
    <w:p>
      <w:r>
        <w:rPr>
          <w:b/>
        </w:rPr>
        <w:t>4.5 Kullanıcı sayısının artırılması ve doğrulama.</w:t>
      </w:r>
      <w:r>
        <w:rPr/>
        <w:t xml:space="preserve"> Müşteri ek Kullanıcı için, o tarihteki geçerli liste fiyatı (50 Kullanıcı'ya kadar) veya teklif edilen hacim fiyatı (51 ve üzeri) üzerinden ek Lisans Bedeli öder; Bakım ve Güncelleme Hizmeti aktifse, ek Kullanıcılar nedeniyle Madde 7.1'deki asgari ve azami sınırlar içinde yıllık bakım bedelinde doğan fark dönem sonuna kadar kıst esasıyla hesaplanır. Etkin Kullanıcı sayısı Yazılım'ın ayarlar ekranında görülür. Müşteri, PORTWARE'in Yazılı talebi üzerine yılda en fazla bir kez etkin Kullanıcı sayısını 15 gün içinde Yazılı olarak beyan eder; PORTWARE Bulut'ta PORTWARE yalnız Kullanıcı sayısını teknik olarak doğrulayabilir. Lisanslanandan fazla Kullanıcı tespit edilirse fark, tespit tarihindeki liste fiyatı üzerinden Lisans Bedeli ve aşımın başladığı tarihten itibaren bakım bedeliyle birlikte faturalanır. Aşım Müşteri tarafından PORTWARE'e bildirilmeden kullanılmışsa veya beyan gerçeğe aykırıysa Müşteri, ayrıca fark Lisans Bedeli'nin %100'ü oranında cezai şart öder; Taraflar tacir olduklarından bu cezai şartın fahiş olduğu ileri sürülemez (6102 sayılı TTK m. 22).</w:t>
      </w:r>
    </w:p>
    <w:p>
      <w:r>
        <w:rPr>
          <w:b/>
        </w:rPr>
        <w:t>4.6 Açık Kaynak Bileşenler.</w:t>
      </w:r>
      <w:r>
        <w:rPr/>
        <w:t xml:space="preserve"> Açık Kaynak Bileşenler kendi lisanslarına tabidir; bu Sözleşme'nin hiçbir hükmü o lisansların Müşteri'ye tanıdığı hakları kısıtlamaz ve kısıtlayıcı yorumlanamaz. Lisans Bedeli; Yazılım'ın PORTWARE tarafından derlenmiş, yapılandırılmış, test edilmiş ve kuruluma hazır dağıtımının teslimi, PORTWARE Bileşenleri üzerindeki kullanım hakkı, SODOO markasının Yazılım ile birlikte kullanım izni, Madde 13'teki garanti ve bu Sözleşme'deki diğer taahhütlerin karşılığıdır. AGPL-3 lisanslı bileşenlerin kaynak kodu, ilgili lisansın gerektirdiği ölçüde, Müşteri'nin Yazılı talebi üzerine Müşteri'ye sağlanır (Ek-6).</w:t>
      </w:r>
    </w:p>
    <w:p>
      <w:r>
        <w:rPr>
          <w:b/>
        </w:rPr>
        <w:t>4.7 Üçüncü Taraf Ürün ve Hizmetleri.</w:t>
      </w:r>
      <w:r>
        <w:rPr/>
        <w:t xml:space="preserve"> Üçüncü Taraf Ürün ve Hizmetleri Lisans Bedeli'ne dahil değildir; kendi sözleşme, kullanım ve fiyat koşullarına tabidir. Özellikle e-Fatura / e-Arşiv / e-İrsaliye hizmetleri için Müşteri, Gelir İdaresi Başkanlığı'nca yetkilendirilmiş bir özel entegratörle ayrıca sözleşme yapar; Yazılım'ın sunduğu entegrasyon, entegratör hizmetinin yerine geçmez. PORTWARE bu ürün ve hizmetleri Müşteri adına temin edebilir ve Sipariş Formu'nda ayrıca fiyatlandırabilir; bu durumda dahi ilgili hizmetin sürekliliği, içeriği ve mevzuata uygunluğu, hizmeti sunan üçüncü kişinin sorumluluğundadır.</w:t>
      </w:r>
    </w:p>
    <w:p>
      <w:r>
        <w:rPr>
          <w:b/>
        </w:rPr>
        <w:t>4.8 Yasaklar.</w:t>
      </w:r>
      <w:r>
        <w:rPr/>
        <w:t xml:space="preserve"> Müşteri; (a) Yazılım'ı veya PORTWARE Bileşenleri'ni üçüncü kişilere satamaz, kiralayamaz, ödünç veremez, alt lisanslayamaz veya üçüncü kişilere hizmet (SaaS, hosting, servis bürosu) olarak sunamaz; (b) lisans ve kullanıcı sayısı denetimini atlatmaya yönelik değişiklik yapamaz; (c) PORTWARE'in telif, marka ve lisans bildirimlerini kaldıramaz veya değiştiremez; (d) PORTWARE Bileşenleri'ni rakip bir ürün geliştirmek amacıyla kopyalayamaz, kaynak koda dönüştüremez veya tersine mühendisliğe tabi tutamaz; (e) Yazılım'ı hukuka aykırı amaçlarla, kötü amaçlı yazılım yaymak veya üçüncü kişilerin haklarını ihlal etmek için kullanamaz. Madde 4.6 kapsamındaki haklar ile FSEK m. 38'in emredici olarak tanıdığı haklar saklıdır.</w:t>
      </w:r>
    </w:p>
    <w:p>
      <w:r>
        <w:rPr>
          <w:b/>
        </w:rPr>
        <w:t>4.9 Marka.</w:t>
      </w:r>
      <w:r>
        <w:rPr/>
        <w:t xml:space="preserve"> SODOO ve PORTWARE adları, logoları ve ilgili işaretler PORTWARE'e veya hak sahibine aittir. Bu Sözleşme Müşteri'ye, Yazılım'ı kendi iç kullanımında bu işaretlerle birlikte kullanmak dışında marka hakkı tanımaz; Yazılım'ın başka bir ad veya markayla yeniden adlandırılması (white-label) PORTWARE'in Yazılı onayına tabidir.</w:t>
      </w:r>
    </w:p>
    <w:p>
      <w:r>
        <w:rPr>
          <w:b/>
        </w:rPr>
        <w:t>4.10 Lisansın doğumu.</w:t>
      </w:r>
      <w:r>
        <w:rPr/>
        <w:t xml:space="preserve"> Kalıcı kullanım hakkı Lisans Bedeli'nin tamamının tahsiliyle doğar. Ödeme tamamlanana kadar Müşteri'nin kullanımı, Sözleşme süresince geçerli, geri alınabilir ve geçici bir kullanım izni niteliğindedir.</w:t>
      </w:r>
    </w:p>
    <w:p>
      <w:pPr>
        <w:pStyle w:val="Heading2"/>
      </w:pPr>
      <w:r>
        <w:rPr/>
        <w:t>5. TESLİM VE KABUL</w:t>
      </w:r>
    </w:p>
    <w:p>
      <w:r>
        <w:rPr>
          <w:b/>
        </w:rPr>
        <w:t>5.1</w:t>
      </w:r>
      <w:r>
        <w:rPr/>
        <w:t xml:space="preserve"> PORTWARE Bulut'ta Yazılım, Sipariş Formu'nun onaylanmasından ve ilk faturanın ödenmesinden itibaren en geç 5 İş Günü içinde erişime açılır. Müşteri'nin kendi Kurulum Ortamı'nda kurulum, Ek-2'deki asgari gereksinimlerin ve uzaktan erişimin Müşteri tarafından sağlanmasından sonra Taraflar'ca kararlaştırılan takvimle yapılır.</w:t>
      </w:r>
    </w:p>
    <w:p>
      <w:r>
        <w:rPr>
          <w:b/>
        </w:rPr>
        <w:t>5.2</w:t>
      </w:r>
      <w:r>
        <w:rPr/>
        <w:t xml:space="preserve"> Kurulumun tamamlandığı PORTWARE tarafından Yazılı olarak bildirilir. Müşteri bildirimden itibaren 5 İş Günü içinde esaslı bir Hata'yı Yazılı olarak bildirmezse veya Yazılım'ı canlı kullanıma alırsa kurulum kabul edilmiş sayılır.</w:t>
      </w:r>
    </w:p>
    <w:p>
      <w:r>
        <w:rPr>
          <w:b/>
        </w:rPr>
        <w:t>5.3</w:t>
      </w:r>
      <w:r>
        <w:rPr/>
        <w:t xml:space="preserve"> Ücretsiz 30 günlük demo ortamındaki veriler, Müşteri'nin talebi üzerine ve demo süresi içinde Müşteri'nin kalıcı Kurulum Ortamı'na taşınabilir; demo ortamı Demo Kullanım Koşulları'na tabidir.</w:t>
      </w:r>
    </w:p>
    <w:p>
      <w:r>
        <w:rPr>
          <w:b/>
        </w:rPr>
        <w:t>5.4 Standart Devreye Alma lisansa dahildir.</w:t>
      </w:r>
      <w:r>
        <w:rPr/>
        <w:t xml:space="preserve"> Lisans Bedeli, ayrıca ücret alınmaksızın aşağıdaki Standart Devreye Alma hizmetini kapsar: (a) Yazılım'ın Müşteri'nin seçtiği Kurulum Ortamı'na uzaktan kurulumu; (b) şirket bilgileri, Türkiye yerelleştirmesi (hesap planı, vergiler, para birimleri), Kullanıcılar ve yetki gruplarının tanımlanması; (c) Müşteri'nin kullanacağı standart uygulamaların etkinleştirilmesi ve satış, satın alma, stok, üretim, proje, muhasebe gibi standart süreçlerin Yazılım'ın standart ayarlarıyla yapılandırılması; (d) Müşteri'nin sağladığı standart şablondaki ürün, müşteri ve tedarikçi listelerinin bir defaya mahsus içe aktarılması; (e) toplam 4 saate kadar uzaktan çevrim içi tanıtım ve kullanıcı eğitimi; (f) canlı kullanıma geçişte ilk 30 gün boyunca kullanım sorularına e-posta ile destek. Standart Devreye Alma'nın kapsamı dışındaki işler, özellikle yerinde (Müşteri adresinde) çalışma ve yol/konaklama giderleri, standart dışı veya karmaşık sunucu ve ağ ortamları, geçmiş yıl kayıtlarının ve açık bakiyelerin başka sistemlerden aktarımı, entegrasyonlar, özel raporlar, ekranlar, yazdırma şablonları ve iş akışları, Yazılım'ın standart ayarlarıyla karşılanamayan özelleştirmeler ve ek eğitim, Profesyonel Hizmet olarak Sipariş Formu'nda veya Ek-5'e göre ayrıca fiyatlandırılır. Standart Devreye Alma, Müşteri'nin Madde 10.2'deki işbirliği yükümlülüklerini yerine getirmesine bağlıdır ve Sipariş Formu'nun onayından itibaren 90 gün içinde kullanılmazsa, PORTWARE'den kaynaklanan gecikmeler hariç, yerine getirilmiş sayılır.</w:t>
      </w:r>
    </w:p>
    <w:p>
      <w:pPr>
        <w:pStyle w:val="Heading2"/>
      </w:pPr>
      <w:r>
        <w:rPr/>
        <w:t>6. SUNUCU VE KURULUM ORTAMI — SUNUCU LİSANS BEDELİNE DAHİL DEĞİLDİR</w:t>
      </w:r>
    </w:p>
    <w:p>
      <w:r>
        <w:rPr>
          <w:b/>
        </w:rPr>
        <w:t>6.1 Sunucu dahil değildir.</w:t>
      </w:r>
      <w:r>
        <w:rPr/>
        <w:t xml:space="preserve"> Lisans Bedeli ile Bakım ve Güncelleme Bedeli </w:t>
      </w:r>
      <w:r>
        <w:rPr>
          <w:b/>
        </w:rPr>
        <w:t>yalnız yazılım kullanım hakkını ve yazılım hizmetlerini</w:t>
      </w:r>
      <w:r>
        <w:rPr/>
        <w:t xml:space="preserve"> kapsar; </w:t>
      </w:r>
      <w:r>
        <w:rPr>
          <w:b/>
        </w:rPr>
        <w:t>sunucu, bulut kaynağı, donanım, işletim sistemi, veritabanı sunucusu, ağ bağlantısı, alan adı ve SSL sertifikası bu bedellere dahil değildir.</w:t>
      </w:r>
    </w:p>
    <w:p>
      <w:r>
        <w:rPr>
          <w:b/>
        </w:rPr>
        <w:t>6.2 Kurulum Ortamı seçenekleri.</w:t>
      </w:r>
      <w:r>
        <w:rPr/>
        <w:t xml:space="preserve"> Müşteri Kurulum Ortamı'nı serbestçe seçer ve seçimini Sipariş Formu'nda belirtir:</w:t>
      </w:r>
    </w:p>
    <w:p>
      <w:pPr>
        <w:pStyle w:val="ListBullet"/>
      </w:pPr>
      <w:r>
        <w:rPr>
          <w:b/>
        </w:rPr>
        <w:t>(a) PORTWARE Bulut:</w:t>
      </w:r>
      <w:r>
        <w:rPr/>
        <w:t xml:space="preserve"> Sunucuyu Müşteri adına PORTWARE temin eder ve işletir. PORTWARE bu kaynağı tanınmış sağlayıcılardan (ör. Hetzner, Amazon Web Services, Microsoft Azure, Google Cloud, DigitalOcean) veya kendisine ait kaynaklardan sağlar. Bu hizmet ayrı olarak fiyatlandırılır ve Ek-2 ile Ek-3'e tabidir.</w:t>
      </w:r>
    </w:p>
    <w:p>
      <w:pPr>
        <w:pStyle w:val="ListBullet"/>
      </w:pPr>
      <w:r>
        <w:rPr>
          <w:b/>
        </w:rPr>
        <w:t>(b) Müşteri'nin bulut hesabı:</w:t>
      </w:r>
      <w:r>
        <w:rPr/>
        <w:t xml:space="preserve"> Yazılım, Müşteri'nin kendi adına kiraladığı bulut sunucusuna kurulur. Sağlayıcı ile sözleşme ilişkisi ve bedeli Müşteri'ye aittir.</w:t>
      </w:r>
    </w:p>
    <w:p>
      <w:pPr>
        <w:pStyle w:val="ListBullet"/>
      </w:pPr>
      <w:r>
        <w:rPr>
          <w:b/>
        </w:rPr>
        <w:t>(c) Şirket içi sunucu:</w:t>
      </w:r>
      <w:r>
        <w:rPr/>
        <w:t xml:space="preserve"> Yazılım, Müşteri'nin şirket ağındaki (on-premise) sunucusuna kurulur.</w:t>
      </w:r>
    </w:p>
    <w:p>
      <w:pPr>
        <w:pStyle w:val="ListBullet"/>
      </w:pPr>
      <w:r>
        <w:rPr>
          <w:b/>
        </w:rPr>
        <w:t>(d) Müşteri'nin bilgisayarı:</w:t>
      </w:r>
      <w:r>
        <w:rPr/>
        <w:t xml:space="preserve"> Yazılım, Müşteri'nin tek bir bilgisayarına yerel olarak kurulur. Bu seçenek az sayıda Kullanıcı ve deneme amaçlı kullanım için uygundur; erişilebilirlik, yedekleme ve güvenlik sınırları Ek-2'de açıklanmıştır.</w:t>
      </w:r>
    </w:p>
    <w:p>
      <w:r>
        <w:rPr>
          <w:b/>
        </w:rPr>
        <w:t>6.3 Müşteri ortamında sorumluluk.</w:t>
      </w:r>
      <w:r>
        <w:rPr/>
        <w:t xml:space="preserve"> (b), (c) ve (d) seçeneklerinde donanım, işletim sistemi ve yazılım lisansları, ağ, güvenlik duvarı, enerji, fiziksel güvenlik, izleme, yedekleme ve felaket kurtarma Müşteri'nin sorumluluğundadır. Müşteri, kurulum ve destek için PORTWARE'e güvenli uzaktan erişim (SSH, VPN veya eşdeğeri) sağlar. Müşteri ortamından kaynaklanan arıza, kesinti, performans sorunu, veri kaybı ve güvenlik olaylarından PORTWARE sorumlu değildir. PORTWARE, Müşteri ortamında yedekleme ve izleme hizmetini ayrıca satın alınan "Sunucu Yönetimi" hizmeti kapsamında üstlenebilir.</w:t>
      </w:r>
    </w:p>
    <w:p>
      <w:r>
        <w:rPr>
          <w:b/>
        </w:rPr>
        <w:t>6.4 PORTWARE Bulut'a özgü hükümler.</w:t>
      </w:r>
      <w:r>
        <w:rPr/>
        <w:t xml:space="preserve"> (a) Sunucu kaynakları PORTWARE adına kiralanır; mülkiyet ve sağlayıcı ile sözleşme ilişkisi Müşteri'ye geçmez. (b) PORTWARE, hizmet kalitesini düşürmemek ve verinin bulunduğu ülke değişecekse Müşteri'ye en az 30 gün önceden bildirmek kaydıyla sağlayıcıyı veya veri merkezini değiştirebilir. (c) Sağlayıcının fiyatlarında, vergi veya kur kaynaklı maliyetlerde artış olursa PORTWARE, en az 30 gün önceden Yazılı bildirimle bedeli yeni döneme yansıtabilir; Müşteri bu durumda yürürlük tarihinden önce Yazılı bildirimle hizmeti cezasız feshedebilir. (d) Sağlayıcı kaynaklı kesintilerde PORTWARE'in yükümlülüğü, Ek-3'teki hizmet kredileri ve hizmetin makul sürede yeniden sağlanması için gerekli çabayla sınırlıdır. (e) Veri konumu, aksi Sipariş Formu'nda kararlaştırılmadıkça Avrupa Birliği'dir; Türkiye'de veri barındırma talebi ayrıca fiyatlandırılır.</w:t>
      </w:r>
    </w:p>
    <w:p>
      <w:r>
        <w:rPr>
          <w:b/>
        </w:rPr>
        <w:t>6.5 Ortam değişikliği.</w:t>
      </w:r>
      <w:r>
        <w:rPr/>
        <w:t xml:space="preserve"> Müşteri Kurulum Ortamı'nı sonradan değiştirebilir; taşıma işçiliği Profesyonel Hizmet olarak fiyatlandırılır.</w:t>
      </w:r>
    </w:p>
    <w:p>
      <w:pPr>
        <w:pStyle w:val="Heading2"/>
      </w:pPr>
      <w:r>
        <w:rPr/>
        <w:t>7. BEDELLER, PARA BİRİMİ, FATURALAMA VE ÖDEME</w:t>
      </w:r>
    </w:p>
    <w:p>
      <w:r>
        <w:rPr>
          <w:b/>
        </w:rPr>
        <w:t>7.1 Liste fiyatları.</w:t>
      </w:r>
      <w:r>
        <w:rPr/>
        <w:t xml:space="preserve"> PORTWARE'in yayımladığı liste fiyatları referans niteliğindedir: 50 Kullanıcı'ya kadar Lisans Bedeli Kullanıcı başına bir defaya mahsus 120 ABD Doları karşılığıdır. Yıllık Bakım ve Güncelleme Bedeli </w:t>
      </w:r>
      <w:r>
        <w:rPr>
          <w:b/>
        </w:rPr>
        <w:t>her 10 Kullanıcı'lık blok için 500 ABD Doları</w:t>
      </w:r>
      <w:r>
        <w:rPr/>
        <w:t xml:space="preserve"> karşılığıdır; Kullanıcı sayısı bir sonraki 10'un katına yuvarlanır (1–10 Kullanıcı 500, 11–20 Kullanıcı 1.000, 21–30 Kullanıcı 1.500 ABD Doları ve bu şekilde devam ederek 91–100 Kullanıcı 5.000 ABD Doları). </w:t>
      </w:r>
      <w:r>
        <w:rPr>
          <w:b/>
        </w:rPr>
        <w:t>Yıllık Bakım ve Güncelleme Bedeli en fazla 5.000 ABD Doları karşılığıdır</w:t>
      </w:r>
      <w:r>
        <w:rPr/>
        <w:t>; 100'ün üzerinde Kullanıcı'lı şirketler de bu bedeli öder. 50'den fazla Kullanıcı için Lisans Bedeli teklifle belirlenir. Standart Devreye Alma Lisans Bedeli'ne dahildir (Madde 5.4). Bağlayıcı bedeller Sipariş Formu'nda yazılı olanlardır.</w:t>
      </w:r>
    </w:p>
    <w:p>
      <w:r>
        <w:rPr>
          <w:b/>
        </w:rPr>
        <w:t>7.2 Para birimi.</w:t>
      </w:r>
      <w:r>
        <w:rPr/>
        <w:t xml:space="preserve"> (a) </w:t>
      </w:r>
      <w:r>
        <w:rPr>
          <w:b/>
        </w:rPr>
        <w:t>Türkiye'de yerleşik Müşteri'ler için</w:t>
      </w:r>
      <w:r>
        <w:rPr/>
        <w:t xml:space="preserve"> bütün bedeller, Türk Parası Kıymetini Koruma Hakkında 32 Sayılı Karar ve ilgili Tebliğ uyarınca </w:t>
      </w:r>
      <w:r>
        <w:rPr>
          <w:b/>
        </w:rPr>
        <w:t>Türk Lirası olarak</w:t>
      </w:r>
      <w:r>
        <w:rPr/>
        <w:t xml:space="preserve"> belirlenir. ABD Doları cinsinden liste fiyatları, teklif tarihindeki Türkiye Cumhuriyet Merkez Bankası döviz satış kuru esas alınarak Türk Lirası'na çevrilir; teklifin geçerlilik süresi içinde onaylanan Sipariş Formu'ndaki Türk Lirası bedel sabittir, dövize endeksli değildir ve sonradan kur farkı talep edilmez. (b) </w:t>
      </w:r>
      <w:r>
        <w:rPr>
          <w:b/>
        </w:rPr>
        <w:t>Yurt dışında yerleşik Müşteri'ler için</w:t>
      </w:r>
      <w:r>
        <w:rPr/>
        <w:t xml:space="preserve"> bedeller Sipariş Formu'nda belirtilen döviz (ABD Doları veya Avro) cinsindendir; banka ve transfer masrafları Müşteri'ye aittir.</w:t>
      </w:r>
    </w:p>
    <w:p>
      <w:r>
        <w:rPr>
          <w:b/>
        </w:rPr>
        <w:t>7.3 Yenileme bedelleri.</w:t>
      </w:r>
      <w:r>
        <w:rPr/>
        <w:t xml:space="preserve"> Bakım ve Güncelleme, Destek paketi ve Sunucu ve Barındırma Hizmeti gibi dönemsel hizmetlerin yenileme dönemine ait bedeli, dönem sonundan en az 60 gün önce Müşteri'ye Yazılı olarak bildirilen o tarihteki fiyattır. Yeni bedeli kabul etmeyen Müşteri, dönem sonundan en az 30 gün önce Yazılı bildirimle ilgili hizmeti yenilememe hakkına sahiptir; bu hâlde Madde 8.4 uygulanır.</w:t>
      </w:r>
    </w:p>
    <w:p>
      <w:r>
        <w:rPr>
          <w:b/>
        </w:rPr>
        <w:t>7.4 Faturalama.</w:t>
      </w:r>
      <w:r>
        <w:rPr/>
        <w:t xml:space="preserve"> Aksi Sipariş Formu'nda kararlaştırılmadıkça: Lisans Bedeli Sipariş Formu'nun onayında tamamen; Bakım ve Güncelleme Bedeli ile yıllık Destek paketi her dönemin başında yıllık peşin; Sunucu ve Barındırma Hizmeti dönem başında peşin; Profesyonel Hizmetler Ek-5'teki ödeme planına göre veya her ay sonunda gerçekleşen süre üzerinden faturalanır. Faturalar e-Fatura veya e-Arşiv fatura olarak düzenlenir.</w:t>
      </w:r>
    </w:p>
    <w:p>
      <w:r>
        <w:rPr>
          <w:b/>
        </w:rPr>
        <w:t>7.5 Ödeme.</w:t>
      </w:r>
      <w:r>
        <w:rPr/>
        <w:t xml:space="preserve"> Faturalar, düzenleme tarihinden itibaren 15 gün içinde PORTWARE'in bildirdiği banka hesabına havale/EFT, kredi kartı veya PORTWARE'in kabul ettiği diğer yöntemlerle ödenir.</w:t>
      </w:r>
    </w:p>
    <w:p>
      <w:r>
        <w:rPr>
          <w:b/>
        </w:rPr>
        <w:t>7.6 Gecikme.</w:t>
      </w:r>
      <w:r>
        <w:rPr/>
        <w:t xml:space="preserve"> Vadesinde ödenmeyen bedellere, ayrıca ihtara gerek olmaksızın, 3095 sayılı Kanuni Faiz ve Temerrüt Faizine İlişkin Kanun m. 2/2 uyarınca T.C. Merkez Bankası'nın kısa vadeli avans işlemlerine uyguladığı faiz oranı üzerinden temerrüt faizi işler. Ödeme, Yazılı bildirimden itibaren 15 gün içinde yapılmazsa PORTWARE; Bakım ve Güncelleme, Destek ve Profesyonel Hizmetler'i askıya alabilir, PORTWARE Bulut'ta erişimi salt okunur kullanıma indirebilir ve bildirimden itibaren 30 günü aşan gecikmede ilgili hizmeti Madde 21.3 uyarınca feshedebilir. Askıya alma Müşteri Verisi'nin silinmesi sonucunu doğurmaz. Tahsilat için yapılan makul masraflar Müşteri'ye aittir.</w:t>
      </w:r>
    </w:p>
    <w:p>
      <w:r>
        <w:rPr>
          <w:b/>
        </w:rPr>
        <w:t>7.7 Vergiler.</w:t>
      </w:r>
      <w:r>
        <w:rPr/>
        <w:t xml:space="preserve"> Bedellere KDV ve diğer yasal vergiler dahil değildir; yürürlükteki oranlarla ayrıca faturalanır. Müşteri, mevzuat gereği bir vergi kesintisi (stopaj) yapmak zorundaysa, PORTWARE'e ödenecek net tutar kesinti yapılmamış gibi Sipariş Formu'ndaki tutara eşit olacak şekilde artırılır. Yurt dışındaki Müşteri'ler için hizmet ihracatına ilişkin KDV istisnası, mevzuattaki koşullar oluştuğunda uygulanır.</w:t>
      </w:r>
    </w:p>
    <w:p>
      <w:r>
        <w:rPr>
          <w:b/>
        </w:rPr>
        <w:t>7.8 Damga vergisi.</w:t>
      </w:r>
      <w:r>
        <w:rPr/>
        <w:t xml:space="preserve"> Bu Sözleşme ve eklerinden doğan damga vergisi Müşteri tarafından ödenir. Sözleşme tek asıl nüsha olarak imzalanır; diğer nüshalar onaysız suret niteliğindedir.</w:t>
      </w:r>
    </w:p>
    <w:p>
      <w:r>
        <w:rPr>
          <w:b/>
        </w:rPr>
        <w:t>7.9 İade ve takas.</w:t>
      </w:r>
      <w:r>
        <w:rPr/>
        <w:t xml:space="preserve"> Lisans Bedeli ile peşin ödenmiş dönemsel bedeller, Madde 13.3 ve 14.3'teki hâller ile PORTWARE'in kusurundan kaynaklanan fesih dışında iade edilmez. Müşteri, PORTWARE'e olan borçlarını PORTWARE'den olan alacaklarıyla takas edemez (TBK m. 145).</w:t>
      </w:r>
    </w:p>
    <w:p>
      <w:pPr>
        <w:pStyle w:val="Heading2"/>
      </w:pPr>
      <w:r>
        <w:rPr/>
        <w:t>8. BAKIM VE GÜNCELLEME HİZMETİ</w:t>
      </w:r>
    </w:p>
    <w:p>
      <w:r>
        <w:rPr>
          <w:b/>
        </w:rPr>
        <w:t>8.1 Kapsam.</w:t>
      </w:r>
      <w:r>
        <w:rPr/>
        <w:t xml:space="preserve"> Hizmet süresince PORTWARE: (a) yeni SODOO Sürümlerini ve yeni modülleri; (b) güvenlik ve uyumluluk düzeltmelerini; (c) Hata düzeltmelerini ve teknik bakımı; (d) Müşteri Verisi'nin her yeni Sürüm'e taşınmasını; (e) Madde 9.2'deki temel destek kanallarına erişimi sağlar.</w:t>
      </w:r>
    </w:p>
    <w:p>
      <w:r>
        <w:rPr>
          <w:b/>
        </w:rPr>
        <w:t>8.2 Uygulama.</w:t>
      </w:r>
      <w:r>
        <w:rPr/>
        <w:t xml:space="preserve"> PORTWARE Bulut'ta Güncellemeler PORTWARE tarafından planlı bakım pencerelerinde uygulanır. Müşteri'nin kendi ortamında Güncellemeler, Müşteri'nin sağladığı uzaktan erişim ile PORTWARE tarafından veya PORTWARE'in talimatlarıyla Müşteri tarafından uygulanır. Müşteri kritik güvenlik Güncellemeleri'ni makul sürede uygulamakla yükümlüdür; uygulanmayan Güncellemeler nedeniyle doğan sonuçlardan PORTWARE sorumlu değildir.</w:t>
      </w:r>
    </w:p>
    <w:p>
      <w:r>
        <w:rPr>
          <w:b/>
        </w:rPr>
        <w:t>8.3 Süre ve yenileme.</w:t>
      </w:r>
      <w:r>
        <w:rPr/>
        <w:t xml:space="preserve"> Hizmet, Sipariş Formu'nda belirtilen başlangıç tarihinden itibaren bir yıllıktır ve Taraflardan biri dönem sonundan en az 30 gün önce Yazılı olarak yenilememe bildiriminde bulunmadıkça Madde 7.3'e göre birer yıl uzar.</w:t>
      </w:r>
    </w:p>
    <w:p>
      <w:r>
        <w:rPr>
          <w:b/>
        </w:rPr>
        <w:t>8.4 Hizmetin sona ermesi ve yeniden başlatılması.</w:t>
      </w:r>
      <w:r>
        <w:rPr/>
        <w:t xml:space="preserve"> Hizmet yenilenmezse Müşteri lisansladığı en son Sürüm'ü kullanmaya devam eder; ancak yeni Sürüm, güvenlik düzeltmesi ve Hata düzeltmesi alamaz. Hizmet sonradan yeniden başlatılırsa, hizmetin kesintide kaldığı dönemlere ait bakım bedelleri ve gerekli Sürüm taşıma işçiliği ödenir.</w:t>
      </w:r>
    </w:p>
    <w:p>
      <w:r>
        <w:rPr>
          <w:b/>
        </w:rPr>
        <w:t>8.5 Sürüm desteği.</w:t>
      </w:r>
      <w:r>
        <w:rPr/>
        <w:t xml:space="preserve"> PORTWARE güncel ana Sürüm ile bir önceki ana Sürüm'ü destekler. Desteklenmeyen bir Sürüm'de kalmayı tercih eden Müşteri'ye verilecek hizmetler Profesyonel Hizmet olarak fiyatlandırılabilir.</w:t>
      </w:r>
    </w:p>
    <w:p>
      <w:r>
        <w:rPr>
          <w:b/>
        </w:rPr>
        <w:t>8.6 Kapsam dışı.</w:t>
      </w:r>
      <w:r>
        <w:rPr/>
        <w:t xml:space="preserve"> Müşteri'nin veya üçüncü kişilerin yaptığı değişiklikler; PORTWARE dışında geliştirilen veya Ek-5 kapsamında ayrıca bakımı üstlenilmeyen özel modüller; Üçüncü Taraf Ürün ve Hizmetleri; Müşteri altyapısından kaynaklanan sorunlar; eğitim, danışmanlık ve yeni özellik geliştirme.</w:t>
      </w:r>
    </w:p>
    <w:p>
      <w:pPr>
        <w:pStyle w:val="Heading2"/>
      </w:pPr>
      <w:r>
        <w:rPr/>
        <w:t>9. DESTEK HİZMETLERİ</w:t>
      </w:r>
    </w:p>
    <w:p>
      <w:r>
        <w:rPr>
          <w:b/>
        </w:rPr>
        <w:t>9.1</w:t>
      </w:r>
      <w:r>
        <w:rPr/>
        <w:t xml:space="preserve"> Destek talepleri e-posta (destek adresi: info@portware.io), PORTWARE'in sağladığı destek portalı ve iş saatlerinde telefonla iletilir. Müşteri, destek taleplerini iletmek üzere en fazla iki yetkili irtibat kişisi belirler; daha fazla irtibat kişisi Destek paketiyle eklenebilir.</w:t>
      </w:r>
    </w:p>
    <w:p>
      <w:r>
        <w:rPr>
          <w:b/>
        </w:rPr>
        <w:t>9.2 Temel destek.</w:t>
      </w:r>
      <w:r>
        <w:rPr/>
        <w:t xml:space="preserve"> Bakım ve Güncelleme Hizmeti kapsamında Hata bildirimleri ve güvenlik konuları için destek verilir. Kullanım soruları, eğitim, yapılandırma, rapor ve veri düzeltme talepleri temel destek kapsamında değildir.</w:t>
      </w:r>
    </w:p>
    <w:p>
      <w:r>
        <w:rPr>
          <w:b/>
        </w:rPr>
        <w:t>9.3 Ücretli Destek paketleri.</w:t>
      </w:r>
      <w:r>
        <w:rPr/>
        <w:t xml:space="preserve"> Müşteri, ön ödemeli destek saat paketi veya yıllık öncelikli destek paketi satın alabilir. Kullanılmayan destek saatleri, aksi kararlaştırılmadıkça ilgili dönem sonunda geçersiz olur.</w:t>
      </w:r>
    </w:p>
    <w:p>
      <w:r>
        <w:rPr>
          <w:b/>
        </w:rPr>
        <w:t>9.4</w:t>
      </w:r>
      <w:r>
        <w:rPr/>
        <w:t xml:space="preserve"> Yanıt ve çözüm hedefleri Ek-3'te düzenlenir. Hedefler, Müşteri'nin talebi tekrarlanabilir bilgi ile iletmesine ve gerekli erişim ile işbirliğini sağlamasına bağlıdır.</w:t>
      </w:r>
    </w:p>
    <w:p>
      <w:pPr>
        <w:pStyle w:val="Heading2"/>
      </w:pPr>
      <w:r>
        <w:rPr/>
        <w:t>10. PROFESYONEL HİZMETLER VE ÖZEL GELİŞTİRME</w:t>
      </w:r>
    </w:p>
    <w:p>
      <w:r>
        <w:rPr>
          <w:b/>
        </w:rPr>
        <w:t>10.1</w:t>
      </w:r>
      <w:r>
        <w:rPr/>
        <w:t xml:space="preserve"> Standart Devreye Alma (Madde 5.4) Lisans Bedeli'ne dahildir. Bunun dışında kalan kurulum ve devreye alma işleri, veri aktarımı, ek eğitim, danışmanlık, entegrasyon ve özel geliştirme hizmetleri Sipariş Formu'nda veya Ek-5'e göre hazırlanan Proje Tanımı'nda kapsamlanır ve fiyatlanır.</w:t>
      </w:r>
    </w:p>
    <w:p>
      <w:r>
        <w:rPr>
          <w:b/>
        </w:rPr>
        <w:t>10.2 Müşteri'nin işbirliği.</w:t>
      </w:r>
      <w:r>
        <w:rPr/>
        <w:t xml:space="preserve"> Müşteri; karar verme yetkisine sahip bir proje sorumlusu atar, gerekli bilgi, belge ve test verisini zamanında sağlar ve test ve kabul adımlarını süresinde tamamlar. Müşteri kaynaklı gecikmelerde takvim aynı ölçüde uzar; PORTWARE ekibinin bekleme süreleri ve tekrarlanan işler fiyatlandırılabilir.</w:t>
      </w:r>
    </w:p>
    <w:p>
      <w:r>
        <w:rPr>
          <w:b/>
        </w:rPr>
        <w:t>10.3 Veri aktarımı.</w:t>
      </w:r>
      <w:r>
        <w:rPr/>
        <w:t xml:space="preserve"> Aktarılan kaynak verinin doğruluğu, eksiksizliği ve hukuka uygunluğu Müşteri'nin sorumluluğundadır. PORTWARE, Müşteri'nin onayladığı eşleme kurallarına göre aktarım yapar; aktarımın Müşteri tarafından kontrol edilip onaylanması kabul yerine geçer.</w:t>
      </w:r>
    </w:p>
    <w:p>
      <w:r>
        <w:rPr>
          <w:b/>
        </w:rPr>
        <w:t>10.4</w:t>
      </w:r>
      <w:r>
        <w:rPr/>
        <w:t xml:space="preserve"> Özel geliştirmeler Yazılım'ın yükseltilebilir modülleri olarak teslim edilir; Odoo çekirdeği değiştirilmez. Fikri mülkiyet, kabul ve garanti Ek-5'e tabidir.</w:t>
      </w:r>
    </w:p>
    <w:p>
      <w:pPr>
        <w:pStyle w:val="Heading2"/>
      </w:pPr>
      <w:r>
        <w:rPr/>
        <w:t>11. YAPAY ZEKÂ ÖZELLİKLERİ (COWORK)</w:t>
      </w:r>
    </w:p>
    <w:p>
      <w:r>
        <w:rPr>
          <w:b/>
        </w:rPr>
        <w:t>11.1</w:t>
      </w:r>
      <w:r>
        <w:rPr/>
        <w:t xml:space="preserve"> Cowork, Müşteri'nin yönetici ayarlarında seçtiği yapay zekâ sağlayıcıları üzerinden çalışır. Aksi Sipariş Formu'nda kararlaştırılmadıkça sağlayıcı hesapları ve API anahtarları Müşteri'ye aittir; kullanım bedellerini sağlayıcı doğrudan faturalar ve harcama limitlerini Müşteri belirler. PORTWARE'in sağlayıcı kullanımını Müşteri adına temin etmesi hâlinde kullanım, Sipariş Formu'ndaki bütçe ve limitlerle sınırlıdır; limit aşıldığında hizmet otomatik olarak durdurulabilir.</w:t>
      </w:r>
    </w:p>
    <w:p>
      <w:r>
        <w:rPr>
          <w:b/>
        </w:rPr>
        <w:t>11.2</w:t>
      </w:r>
      <w:r>
        <w:rPr/>
        <w:t xml:space="preserve"> Cowork kayıtlarda değişiklik yapmadan önce Kullanıcı'nın onayını ister. Yapay zekâ çıktıları hatalı, eksik veya güncel olmayan bilgi içerebilir; çıktının kullanılmasına, uygulanmasına ve sonuçlarına ilişkin karar ve sorumluluk Müşteri'ye aittir. Yapay zekâ çıktıları hukuki, mali, vergisel veya teknik danışmanlık niteliğinde değildir.</w:t>
      </w:r>
    </w:p>
    <w:p>
      <w:r>
        <w:rPr>
          <w:b/>
        </w:rPr>
        <w:t>11.3</w:t>
      </w:r>
      <w:r>
        <w:rPr/>
        <w:t xml:space="preserve"> Müşteri Verisi'nin yapay zekâ sağlayıcılarına aktarımı Ek-4'e tabidir. Müşteri, kişisel veri ve ticari sır içeren verilerin aktarımı bakımından uygun sağlayıcıyı seçmek ve gerekli hukuki dayanakları sağlamakla yükümlüdür.</w:t>
      </w:r>
    </w:p>
    <w:p>
      <w:pPr>
        <w:pStyle w:val="Heading2"/>
      </w:pPr>
      <w:r>
        <w:rPr/>
        <w:t>12. MÜŞTERİ'NİN YÜKÜMLÜLÜKLERİ</w:t>
      </w:r>
    </w:p>
    <w:p>
      <w:r>
        <w:rPr>
          <w:b/>
        </w:rPr>
        <w:t>12.1</w:t>
      </w:r>
      <w:r>
        <w:rPr/>
        <w:t xml:space="preserve"> Müşteri; Yazılım'ı bu Sözleşme'ye ve mevzuata uygun kullanmak, Kullanıcı hesaplarının ve parolaların gizliliğini sağlamak, yetkisiz erişimi öğrendiğinde PORTWARE'i gecikmeksizin bilgilendirmek, Yazılım'a hukuka uygun olarak elde edilmiş veri girmek ve Kullanıcılar'ın bu Sözleşme'ye uygun davranmasını sağlamakla yükümlüdür.</w:t>
      </w:r>
    </w:p>
    <w:p>
      <w:r>
        <w:rPr>
          <w:b/>
        </w:rPr>
        <w:t>12.2 Mevzuata uygunluk.</w:t>
      </w:r>
      <w:r>
        <w:rPr/>
        <w:t xml:space="preserve"> Yazılım bir iş yönetim aracıdır. Muhasebe kayıtlarının, vergi beyanlarının, e-Defter, bordro, SGK ve benzeri yasal yükümlülüklerin mevzuata uygunluğunun ve doğruluğunun kontrolü Müşteri'nin ve mali müşavirinin sorumluluğundadır. Yazılım'daki hesaplama ve şablonlar mevzuat değişikliklerine Bakım ve Güncelleme Hizmeti kapsamında makul sürede uyarlanır; PORTWARE, Müşteri'nin yasal yükümlülüklerinin yerine getirilmesini garanti etmez.</w:t>
      </w:r>
    </w:p>
    <w:p>
      <w:r>
        <w:rPr>
          <w:b/>
        </w:rPr>
        <w:t>12.3 Yedekleme.</w:t>
      </w:r>
      <w:r>
        <w:rPr/>
        <w:t xml:space="preserve"> Müşteri'nin kendi Kurulum Ortamı'nda düzenli yedek almak ve yedeklerin geri yüklenebilirliğini doğrulamak Müşteri'nin sorumluluğundadır. PORTWARE Bulut'ta yedekleme Ek-2 ve Ek-3'e göre PORTWARE tarafından yapılır.</w:t>
      </w:r>
    </w:p>
    <w:p>
      <w:pPr>
        <w:pStyle w:val="Heading2"/>
      </w:pPr>
      <w:r>
        <w:rPr/>
        <w:t>13. GARANTİ</w:t>
      </w:r>
    </w:p>
    <w:p>
      <w:r>
        <w:rPr>
          <w:b/>
        </w:rPr>
        <w:t>13.1</w:t>
      </w:r>
      <w:r>
        <w:rPr/>
        <w:t xml:space="preserve"> PORTWARE; Yazılım'ı ve hizmetleri özenle ve sektör uygulamalarına uygun şekilde sunacağını, PORTWARE Bileşenleri'ni bu Sözleşme kapsamında lisanslama yetkisine sahip olduğunu ve teslim tarihinden itibaren 90 gün boyunca Yazılım'ın Belgeler'de anlatılan başlıca işlevleri esaslı olarak yerine getireceğini taahhüt eder.</w:t>
      </w:r>
    </w:p>
    <w:p>
      <w:r>
        <w:rPr>
          <w:b/>
        </w:rPr>
        <w:t>13.2</w:t>
      </w:r>
      <w:r>
        <w:rPr/>
        <w:t xml:space="preserve"> Garanti süresi içinde Yazılı olarak ve tekrarlanabilir bilgiyle bildirilen Hata'lar PORTWARE tarafından makul sürede giderilir veya makul bir geçici çözüm sağlanır.</w:t>
      </w:r>
    </w:p>
    <w:p>
      <w:r>
        <w:rPr>
          <w:b/>
        </w:rPr>
        <w:t>13.3</w:t>
      </w:r>
      <w:r>
        <w:rPr/>
        <w:t xml:space="preserve"> PORTWARE esaslı bir Hata'yı bildirimden itibaren 60 gün içinde gideremezse Müşteri, ilgili Lisans Bedeli'nin iadesi karşılığında lisansı sona erdirebilir. Madde 13.2 ve 13.3, garantiye aykırılık hâlinde Müşteri'nin başvurabileceği yegâne yollardır; Madde 18.3'teki hâller saklıdır.</w:t>
      </w:r>
    </w:p>
    <w:p>
      <w:r>
        <w:rPr>
          <w:b/>
        </w:rPr>
        <w:t>13.4 Garanti reddi.</w:t>
      </w:r>
      <w:r>
        <w:rPr/>
        <w:t xml:space="preserve"> Yukarıdaki açık taahhütler dışında ve emredici hükümlerin izin verdiği ölçüde Yazılım "olduğu gibi" sunulur; Yazılım'ın kesintisiz veya tamamen hatasız çalışacağı, Müşteri'nin bütün ihtiyaçlarını karşılayacağı veya belirli bir amaca uygun olduğu garanti edilmez. Açık Kaynak Bileşenler, Üçüncü Taraf Ürün ve Hizmetleri, yapay zekâ çıktıları ve ücretsiz demo ortamı için PORTWARE garanti vermez.</w:t>
      </w:r>
    </w:p>
    <w:p>
      <w:r>
        <w:rPr>
          <w:b/>
        </w:rPr>
        <w:t>13.5</w:t>
      </w:r>
      <w:r>
        <w:rPr/>
        <w:t xml:space="preserve"> Garanti; Müşteri'nin veya üçüncü kişilerin yaptığı değişiklikler, Belgeler'e aykırı kullanım, Ek-2'deki gereksinimleri karşılamayan ortamlar ve Üçüncü Taraf Ürün ve Hizmetleri'nden kaynaklanan sorunları kapsamaz.</w:t>
      </w:r>
    </w:p>
    <w:p>
      <w:pPr>
        <w:pStyle w:val="Heading2"/>
      </w:pPr>
      <w:r>
        <w:rPr/>
        <w:t>14. FİKRİ MÜLKİYET</w:t>
      </w:r>
    </w:p>
    <w:p>
      <w:r>
        <w:rPr>
          <w:b/>
        </w:rPr>
        <w:t>14.1</w:t>
      </w:r>
      <w:r>
        <w:rPr/>
        <w:t xml:space="preserve"> Yazılım ve PORTWARE Bileşenleri üzerindeki tüm fikri ve sınai haklar PORTWARE'e veya lisans verenlerine aittir; bu Sözleşme Madde 4'te açıkça sayılanlar dışında hak devri veya lisans içermez. Açık Kaynak Bileşenler'in hak sahipleri ve lisansları Ek-6'da belirtilir.</w:t>
      </w:r>
    </w:p>
    <w:p>
      <w:r>
        <w:rPr>
          <w:b/>
        </w:rPr>
        <w:t>14.2</w:t>
      </w:r>
      <w:r>
        <w:rPr/>
        <w:t xml:space="preserve"> Müşteri Verisi Müşteri'ye aittir. PORTWARE Müşteri Verisi'ni yalnız hizmeti sunmak amacıyla ve Ek-4 çerçevesinde işler. Müşteri'nin Yazılım'a ilişkin öneri ve geri bildirimleri, Müşteri'nin ticari sırlarını içermemek kaydıyla, PORTWARE tarafından bedelsiz olarak ürün geliştirmede kullanılabilir.</w:t>
      </w:r>
    </w:p>
    <w:p>
      <w:r>
        <w:rPr>
          <w:b/>
        </w:rPr>
        <w:t>14.3 Üçüncü kişi hak ihlali iddiaları.</w:t>
      </w:r>
      <w:r>
        <w:rPr/>
        <w:t xml:space="preserve"> Üçüncü bir kişi, PORTWARE Bileşenleri'nin Türkiye'de veya Avrupa Birliği'nde fikri mülkiyet haklarını ihlal ettiğini ileri sürerse PORTWARE, Müşteri'nin iddiayı gecikmeksizin Yazılı bildirmesi, savunmanın yönetimini PORTWARE'e bırakması ve makul işbirliği yapması şartıyla, kendi seçimine göre: (a) Müşteri'nin kullanım hakkını sürdürecek lisansı temin eder, (b) ilgili bileşeni işlevini esaslı olarak koruyarak değiştirir veya (c) bu ikisi makul şekilde mümkün değilse lisansı sona erdirerek ilgili Lisans Bedeli'ni, teslimden itibaren geçen her yıl için %20 oranında düşerek iade eder. PORTWARE, iddiaya ilişkin olarak Müşteri aleyhine kesinleşen tazminatı Madde 18'deki sınırlar içinde üstlenir. Bu madde; Açık Kaynak Bileşenler, Müşteri'nin değişiklikleri, PORTWARE tarafından sağlanmayan ürünlerle birlikte kullanım ve Müşteri talimatına göre yapılan geliştirmelerden doğan iddiaları kapsamaz.</w:t>
      </w:r>
    </w:p>
    <w:p>
      <w:r>
        <w:rPr>
          <w:b/>
        </w:rPr>
        <w:t>14.4</w:t>
      </w:r>
      <w:r>
        <w:rPr/>
        <w:t xml:space="preserve"> Müşteri, Müşteri Verisi'nin veya Müşteri talimatlarının üçüncü kişilerin haklarını ihlal etmesinden ya da Madde 4.8'e aykırılıktan doğan taleplere karşı PORTWARE'i sorumlu tutmaz ve bu taleplerden doğan zararları karşılar.</w:t>
      </w:r>
    </w:p>
    <w:p>
      <w:pPr>
        <w:pStyle w:val="Heading2"/>
      </w:pPr>
      <w:r>
        <w:rPr/>
        <w:t>15. GİZLİLİK</w:t>
      </w:r>
    </w:p>
    <w:p>
      <w:r>
        <w:rPr>
          <w:b/>
        </w:rPr>
        <w:t>15.1</w:t>
      </w:r>
      <w:r>
        <w:rPr/>
        <w:t xml:space="preserve"> Taraflar; sözleşme ilişkisi sırasında öğrendikleri ticari sırları, Müşteri Verisi'ni, kaynak kodunu, fiyat ve teklif bilgilerini, güvenlik bilgilerini ve açıklanması karşı tarafın meşru menfaatine zarar verebilecek diğer bilgileri ("Gizli Bilgi") yalnız bu Sözleşme'nin ifası için kullanır ve üçüncü kişilere açıklamaz. Bu yükümlülük, alt yükleniciler ve danışmanlar da dahil olmak üzere bilgiye erişen çalışan ve yardımcı kişilere de yüklenir.</w:t>
      </w:r>
    </w:p>
    <w:p>
      <w:r>
        <w:rPr>
          <w:b/>
        </w:rPr>
        <w:t>15.2</w:t>
      </w:r>
      <w:r>
        <w:rPr/>
        <w:t xml:space="preserve"> Kamuya açık olan, alan tarafça bağımsız olarak geliştirilen, üçüncü kişiden hukuka uygun olarak edinilen ve yasal zorunluluk veya yetkili makam kararı ile açıklanması gereken bilgiler istisnadır; yasal zorunluluk hâlinde, mümkünse karşı taraf önceden bilgilendirilir.</w:t>
      </w:r>
    </w:p>
    <w:p>
      <w:r>
        <w:rPr>
          <w:b/>
        </w:rPr>
        <w:t>15.3</w:t>
      </w:r>
      <w:r>
        <w:rPr/>
        <w:t xml:space="preserve"> Gizlilik yükümlülüğü Sözleşme'nin sona ermesinden sonra 5 yıl, ticari sırlar ve kaynak kodu bakımından süresiz olarak devam eder.</w:t>
      </w:r>
    </w:p>
    <w:p>
      <w:pPr>
        <w:pStyle w:val="Heading2"/>
      </w:pPr>
      <w:r>
        <w:rPr/>
        <w:t>16. KİŞİSEL VERİLERİN KORUNMASI</w:t>
      </w:r>
    </w:p>
    <w:p>
      <w:r>
        <w:rPr/>
        <w:t>Taraflar, 6698 sayılı Kişisel Verilerin Korunması Kanunu ve uygulanabildiği ölçüde Avrupa Birliği Genel Veri Koruma Tüzüğü (GDPR) kapsamındaki yükümlülüklerini Ek-4 uyarınca yerine getirir. PORTWARE Bulut'ta ve PORTWARE'in destek amacıyla Müşteri ortamına eriştiği durumlarda Müşteri veri sorumlusu, PORTWARE veri işleyendir.</w:t>
      </w:r>
    </w:p>
    <w:p>
      <w:pPr>
        <w:pStyle w:val="Heading2"/>
      </w:pPr>
      <w:r>
        <w:rPr/>
        <w:t>17. BİLGİ GÜVENLİĞİ</w:t>
      </w:r>
    </w:p>
    <w:p>
      <w:r>
        <w:rPr/>
        <w:t>PORTWARE, Yazılım'ı ve PORTWARE Bulut'u sektörde kabul görmüş güvenlik uygulamalarıyla (şifreli iletim, anahtar tabanlı yönetici erişimi, en az yetki ilkesi, güncel güvenlik yamaları, erişim kayıtları, şifreli ve coğrafi olarak ayrık yedekler) sunar. Taraflar, öğrendikleri güvenlik açıklarını ve ihlallerini birbirlerine gecikmeksizin bildirir. Müşteri, PORTWARE Bulut'ta veya Yazılım'da güvenlik testi (sızma testi) yapmadan önce PORTWARE'in Yazılı onayını alır.</w:t>
      </w:r>
    </w:p>
    <w:p>
      <w:pPr>
        <w:pStyle w:val="Heading2"/>
      </w:pPr>
      <w:r>
        <w:rPr/>
        <w:t>18. SORUMLULUĞUN SINIRLANDIRILMASI</w:t>
      </w:r>
    </w:p>
    <w:p>
      <w:r>
        <w:rPr>
          <w:b/>
        </w:rPr>
        <w:t>18.1</w:t>
      </w:r>
      <w:r>
        <w:rPr/>
        <w:t xml:space="preserve"> Taraflardan hiçbiri; dolaylı zararlardan, kâr ve gelir kaybından, iş kesintisinden, itibar kaybından, sözleşme fırsatı kaybından ve üçüncü kişilerin talepleri nedeniyle uğranılan dolaylı zararlardan sorumlu değildir.</w:t>
      </w:r>
    </w:p>
    <w:p>
      <w:r>
        <w:rPr>
          <w:b/>
        </w:rPr>
        <w:t>18.2</w:t>
      </w:r>
      <w:r>
        <w:rPr/>
        <w:t xml:space="preserve"> PORTWARE'in bu Sözleşme'den ve Sözleşme ile bağlantılı her türlü sebepten doğan toplam sorumluluğu, sorumluluk doğuran olaydan önceki 12 ay içinde Müşteri'nin bu Sözleşme kapsamında PORTWARE'e fiilen ödediği bedellerin toplamı ile sınırlıdır. Veri kaybında PORTWARE'in yükümlülüğü, PORTWARE Bulut'ta son geçerli yedekten geri yükleme yapılmasıyla; Müşteri ortamında ise Müşteri'nin sağladığı yedekten geri yüklemeye yardım edilmesiyle sınırlıdır.</w:t>
      </w:r>
    </w:p>
    <w:p>
      <w:r>
        <w:rPr>
          <w:b/>
        </w:rPr>
        <w:t>18.3</w:t>
      </w:r>
      <w:r>
        <w:rPr/>
        <w:t xml:space="preserve"> Kast ve ağır ihmal, 6098 sayılı Türk Borçlar Kanunu m. 115 uyarınca emredici olarak sınırlandırılamayan diğer hâller, Müşteri'nin ödeme yükümlülükleri ile Madde 4.8, 14.4 ve 15'e aykırılıktan doğan sorumluluk bu maddedeki sınırlamalara tabi değildir.</w:t>
      </w:r>
    </w:p>
    <w:p>
      <w:r>
        <w:rPr>
          <w:b/>
        </w:rPr>
        <w:t>18.4</w:t>
      </w:r>
      <w:r>
        <w:rPr/>
        <w:t xml:space="preserve"> Taraflar, bu maddedeki sorumluluk dağılımının bedellerin belirlenmesinde esas alındığını kabul eder.</w:t>
      </w:r>
    </w:p>
    <w:p>
      <w:pPr>
        <w:pStyle w:val="Heading2"/>
      </w:pPr>
      <w:r>
        <w:rPr/>
        <w:t>19. MÜCBİR SEBEP</w:t>
      </w:r>
    </w:p>
    <w:p>
      <w:r>
        <w:rPr/>
        <w:t>Doğal afet, deprem, yangın, sel, salgın, savaş, terör, toplumsal olaylar, grev ve lokavt, genel enerji ve iletişim altyapısı kesintileri, büyük çaplı siber saldırılar, barındırma sağlayıcılarının veya internet omurgasının genel kesintileri, yeni mevzuat ve resmî makam kararları gibi Taraflar'ın makul kontrolü dışındaki olaylarda etkilenen Taraf'ın yükümlülükleri, olayın etkisi süresince askıda kalır; Müşteri'nin muaccel ödeme borçları bu hükümden etkilenmez. Etkilenen Taraf durumu gecikmeksizin bildirir ve etkileri azaltmak için makul çabayı gösterir. 60 günü aşan mücbir sebep hâlinde Taraflar etkilenen hizmeti Yazılı bildirimle feshedebilir.</w:t>
      </w:r>
    </w:p>
    <w:p>
      <w:pPr>
        <w:pStyle w:val="Heading2"/>
      </w:pPr>
      <w:r>
        <w:rPr/>
        <w:t>20. SÜRE</w:t>
      </w:r>
    </w:p>
    <w:p>
      <w:r>
        <w:rPr/>
        <w:t>Sözleşme, son imza tarihinde yürürlüğe girer. Kalıcı kullanım hakkı Madde 21 saklı kalmak kaydıyla süresizdir. Bakım ve Güncelleme, Destek, Sunucu ve Barındırma Hizmeti gibi dönemsel hizmetler Sipariş Formu'nda belirtilen sürelerle ve Madde 8.3'e göre yenilenerek devam eder. Profesyonel Hizmetler ilgili Proje Tanımı'nın tamamlanmasıyla sona erer.</w:t>
      </w:r>
    </w:p>
    <w:p>
      <w:pPr>
        <w:pStyle w:val="Heading2"/>
      </w:pPr>
      <w:r>
        <w:rPr/>
        <w:t>21. FESİH</w:t>
      </w:r>
    </w:p>
    <w:p>
      <w:r>
        <w:rPr>
          <w:b/>
        </w:rPr>
        <w:t>21.1 Haklı sebeple fesih.</w:t>
      </w:r>
      <w:r>
        <w:rPr/>
        <w:t xml:space="preserve"> Taraflardan biri bu Sözleşme'den doğan esaslı bir yükümlülüğünü ihlal eder ve ihlali Yazılı bildirimden itibaren 30 gün içinde gidermezse, diğer Taraf ilgili hizmeti veya Sözleşme'yi feshedebilir. Taraflardan birinin iflası, konkordato talebi veya ödeme güçlüğü içine düşmesi de haklı sebeptir.</w:t>
      </w:r>
    </w:p>
    <w:p>
      <w:r>
        <w:rPr>
          <w:b/>
        </w:rPr>
        <w:t>21.2 Dönemsel hizmetlerin feshi.</w:t>
      </w:r>
      <w:r>
        <w:rPr/>
        <w:t xml:space="preserve"> Müşteri dönemsel hizmetleri dönem sonu itibarıyla, en az 30 gün önce Yazılı bildirimle sona erdirebilir; dönem içinde fesihte peşin ödenmiş bedel iade edilmez. PORTWARE, Sunucu ve Barındırma Hizmeti'ni ve Destek paketini en az 90 gün önceden Yazılı bildirimle ve bu süre içinde verilerin Müşteri'nin seçtiği ortama taşınmasına makul yardım sağlayarak sona erdirebilir; bu hâlde kullanılmayan döneme ait bedel iade edilir.</w:t>
      </w:r>
    </w:p>
    <w:p>
      <w:r>
        <w:rPr>
          <w:b/>
        </w:rPr>
        <w:t>21.3 Lisansın sona erdirilmesi.</w:t>
      </w:r>
      <w:r>
        <w:rPr/>
        <w:t xml:space="preserve"> PORTWARE, Lisans Bedeli'nin Madde 7.6'daki süre içinde ödenmemesi veya Madde 4.8'e esaslı aykırılık hâlinde, Yazılı bildirimle ve 30 günlük düzeltme süresi sonunda kullanım hakkını sona erdirebilir.</w:t>
      </w:r>
    </w:p>
    <w:p>
      <w:r>
        <w:rPr>
          <w:b/>
        </w:rPr>
        <w:t>21.4 Askıya alma.</w:t>
      </w:r>
      <w:r>
        <w:rPr/>
        <w:t xml:space="preserve"> PORTWARE; Yazılım'ın veya PORTWARE Bulut'un güvenliğini ya da diğer müşterileri tehdit eden kullanım, hukuka aykırı kullanım veya yetkili makam talebi hâlinde ilgili hizmeti, durumu derhâl bildirerek ve tehdidi gidermek için gerekli süre ve ölçüyle sınırlı olarak askıya alabilir.</w:t>
      </w:r>
    </w:p>
    <w:p>
      <w:pPr>
        <w:pStyle w:val="Heading2"/>
      </w:pPr>
      <w:r>
        <w:rPr/>
        <w:t>22. SONA ERMENİN SONUÇLARI</w:t>
      </w:r>
    </w:p>
    <w:p>
      <w:r>
        <w:rPr>
          <w:b/>
        </w:rPr>
        <w:t>22.1</w:t>
      </w:r>
      <w:r>
        <w:rPr/>
        <w:t xml:space="preserve"> Dönemsel hizmetlerin sona ermesi kalıcı kullanım hakkını etkilemez; kullanım hakkı yalnız Madde 21.3 ve 13.3 hâllerinde sona erer. Kullanım hakkı sona erdiğinde Müşteri Yazılım'ın PORTWARE Bileşenleri'ni kullanmayı bırakır ve kopyalarını siler; Açık Kaynak Bileşenler üzerindeki hakları saklıdır.</w:t>
      </w:r>
    </w:p>
    <w:p>
      <w:r>
        <w:rPr>
          <w:b/>
        </w:rPr>
        <w:t>22.2 Veri iadesi.</w:t>
      </w:r>
      <w:r>
        <w:rPr/>
        <w:t xml:space="preserve"> PORTWARE Bulut hizmetinin sona ermesinden itibaren 30 gün içinde PORTWARE, Müşteri'nin talebi üzerine Müşteri Verisi'nin tamamını standart formatta (PostgreSQL veritabanı yedeği ve dosya deposu) Müşteri'ye teslim eder. Hizmetin sona ermesinden itibaren 60 gün sonra Müşteri Verisi yedekler dahil silinir ve silme Yazılı olarak bildirilir; yasal saklama yükümlülükleri saklıdır.</w:t>
      </w:r>
    </w:p>
    <w:p>
      <w:r>
        <w:rPr>
          <w:b/>
        </w:rPr>
        <w:t>22.3</w:t>
      </w:r>
      <w:r>
        <w:rPr/>
        <w:t xml:space="preserve"> Sona erme tarihine kadar doğmuş bedeller muaccel olur. Madde 4.8, 7, 14, 15, 18, 22, 25 ve 27 Sözleşme'nin sona ermesinden sonra da yürürlükte kalır.</w:t>
      </w:r>
    </w:p>
    <w:p>
      <w:pPr>
        <w:pStyle w:val="Heading2"/>
      </w:pPr>
      <w:r>
        <w:rPr/>
        <w:t>23. ÇALIŞAN AYARTMA YASAĞI</w:t>
      </w:r>
    </w:p>
    <w:p>
      <w:r>
        <w:rPr/>
        <w:t>Müşteri, Sözleşme süresince ve sona ermesinden itibaren 12 ay boyunca, PORTWARE'in Yazılı onayı olmadan, bu Sözleşme kapsamındaki işlerde görev almış PORTWARE çalışanlarını veya alt yüklenici personelini doğrudan veya dolaylı olarak işe almaz veya hizmetinden yararlanmaz. Aykırılık hâlinde Müşteri, ilgili kişinin PORTWARE'deki son 6 aylık brüt ücreti tutarında cezai şart öder. Genel iş ilanlarına kendiliğinden yapılan başvurular bu yasağın kapsamı dışındadır.</w:t>
      </w:r>
    </w:p>
    <w:p>
      <w:pPr>
        <w:pStyle w:val="Heading2"/>
      </w:pPr>
      <w:r>
        <w:rPr/>
        <w:t>24. REFERANS</w:t>
      </w:r>
    </w:p>
    <w:p>
      <w:r>
        <w:rPr/>
        <w:t>PORTWARE, Müşteri'nin ticaret unvanını ve logosunu referans listelerinde ve tanıtım materyallerinde kullanabilir. Müşteri bu izni dilediği zaman Yazılı bildirimle geri alabilir. Müşteri'ye ait vaka çalışması, görüş veya ekran görüntüsü yalnız Müşteri'nin ayrıca vereceği Yazılı onayla yayımlanır.</w:t>
      </w:r>
    </w:p>
    <w:p>
      <w:pPr>
        <w:pStyle w:val="Heading2"/>
      </w:pPr>
      <w:r>
        <w:rPr/>
        <w:t>25. BİLDİRİMLER</w:t>
      </w:r>
    </w:p>
    <w:p>
      <w:r>
        <w:rPr>
          <w:b/>
        </w:rPr>
        <w:t>25.1</w:t>
      </w:r>
      <w:r>
        <w:rPr/>
        <w:t xml:space="preserve"> Operasyonel bildirimler, Taraflar'ın Madde 1'de veya sonradan Yazılı olarak bildirdiği e-posta adreslerine yapılır.</w:t>
      </w:r>
    </w:p>
    <w:p>
      <w:r>
        <w:rPr>
          <w:b/>
        </w:rPr>
        <w:t>25.2</w:t>
      </w:r>
      <w:r>
        <w:rPr/>
        <w:t xml:space="preserve"> İhtar, fesih ve temerrüde ilişkin bildirimler 6102 sayılı Türk Ticaret Kanunu m. 18/3 uyarınca noter, iadeli taahhütlü mektup, telgraf veya kayıtlı elektronik posta (KEP) ile yapılır.</w:t>
      </w:r>
    </w:p>
    <w:p>
      <w:r>
        <w:rPr>
          <w:b/>
        </w:rPr>
        <w:t>25.3</w:t>
      </w:r>
      <w:r>
        <w:rPr/>
        <w:t xml:space="preserve"> Adres değişikliği Yazılı olarak bildirilmedikçe Madde 1'deki adreslere yapılan bildirimler geçerli sayılır.</w:t>
      </w:r>
    </w:p>
    <w:p>
      <w:pPr>
        <w:pStyle w:val="Heading2"/>
      </w:pPr>
      <w:r>
        <w:rPr/>
        <w:t>26. ELEKTRONİK İMZA VE DELİL SÖZLEŞMESİ</w:t>
      </w:r>
    </w:p>
    <w:p>
      <w:r>
        <w:rPr>
          <w:b/>
        </w:rPr>
        <w:t>26.1</w:t>
      </w:r>
      <w:r>
        <w:rPr/>
        <w:t xml:space="preserve"> Sözleşme; ıslak imza, 5070 sayılı Elektronik İmza Kanunu'na uygun güvenli elektronik imza veya PORTWARE'in sözleşme yönetim sistemi üzerinden çevrim içi imza ile imzalanabilir. Çevrim içi imzada sistem; imzalayanın adını, imzasının görüntüsünü, imza tarih ve saatini, IP adresini, tarayıcı bilgisini ve imzalanan metnin SHA-256 özetini kaydeder ve imzalanan nüshayı değiştirilemez şekilde saklar.</w:t>
      </w:r>
    </w:p>
    <w:p>
      <w:r>
        <w:rPr>
          <w:b/>
        </w:rPr>
        <w:t>26.2</w:t>
      </w:r>
      <w:r>
        <w:rPr/>
        <w:t xml:space="preserve"> Taraflar, 6100 sayılı Hukuk Muhakemeleri Kanunu m. 193 uyarınca, PORTWARE'in sözleşme yönetim sistemindeki imza kayıtlarının, e-posta kayıtlarının ve sistem günlüklerinin bu Sözleşme'nin kurulması ve içeriği bakımından geçerli ve bağlayıcı delil teşkil edeceğini kabul eder; karşı delil ikamesi hakkı saklıdır.</w:t>
      </w:r>
    </w:p>
    <w:p>
      <w:r>
        <w:rPr>
          <w:b/>
        </w:rPr>
        <w:t>26.3</w:t>
      </w:r>
      <w:r>
        <w:rPr/>
        <w:t xml:space="preserve"> Taraflar, lisans sözleşmelerinin FSEK m. 52 uyarınca yazılı şekle tabi olduğunu bilir. Çevrim içi imza ile kabul edilen Sözleşme'yi, Taraflar'dan birinin talebi üzerine 15 gün içinde ıslak imza veya güvenli elektronik imza ile teyit etmeyi kabul ederler. Sözleşme'yi kabul edip ifa eden veya ifasını kabul eden Taraf'ın sonradan şekil eksikliğine dayanması dürüstlük kuralına aykırıdır (4721 sayılı Türk Medeni Kanunu m. 2).</w:t>
      </w:r>
    </w:p>
    <w:p>
      <w:r>
        <w:rPr>
          <w:b/>
        </w:rPr>
        <w:t>26.4</w:t>
      </w:r>
      <w:r>
        <w:rPr/>
        <w:t xml:space="preserve"> İmza yetkisi: Sözleşme'yi Müşteri adına imzalayan kişi, Müşteri'yi temsil ve ilzama yetkili olduğunu beyan eder ve talep hâlinde yetki belgesini (imza sirküleri veya vekâletname) sunar.</w:t>
      </w:r>
    </w:p>
    <w:p>
      <w:pPr>
        <w:pStyle w:val="Heading2"/>
      </w:pPr>
      <w:r>
        <w:rPr/>
        <w:t>27. UYGULANACAK HUKUK, ARABULUCULUK VE YETKİ</w:t>
      </w:r>
    </w:p>
    <w:p>
      <w:r>
        <w:rPr>
          <w:b/>
        </w:rPr>
        <w:t>27.1</w:t>
      </w:r>
      <w:r>
        <w:rPr/>
        <w:t xml:space="preserve"> Bu Sözleşme Türkiye Cumhuriyeti hukukuna tabidir; milletler arası özel hukuk kuralları ve Milletlerarası Mal Satımına İlişkin Sözleşmeler Hakkında Birleşmiş Milletler Antlaşması (CISG) uygulanmaz.</w:t>
      </w:r>
    </w:p>
    <w:p>
      <w:r>
        <w:rPr>
          <w:b/>
        </w:rPr>
        <w:t>27.2</w:t>
      </w:r>
      <w:r>
        <w:rPr/>
        <w:t xml:space="preserve"> Taraflar uyuşmazlıkları öncelikle iyi niyetle görüşerek çözmeye çalışır. Konusu bir miktar paranın ödenmesi olan uyuşmazlıklarda dava açılmadan önce 6102 sayılı Türk Ticaret Kanunu m. 5/A uyarınca arabulucuya başvurulur.</w:t>
      </w:r>
    </w:p>
    <w:p>
      <w:r>
        <w:rPr>
          <w:b/>
        </w:rPr>
        <w:t>27.3</w:t>
      </w:r>
      <w:r>
        <w:rPr/>
        <w:t xml:space="preserve"> Türkiye'de yerleşik Müşteri'lerle doğacak uyuşmazlıklarda </w:t>
      </w:r>
      <w:r>
        <w:rPr>
          <w:b/>
          <w:color w:val="92400E"/>
          <w:shd w:val="clear" w:color="auto" w:fill="FEF3C7"/>
        </w:rPr>
        <w:t>[yetkili mahkemeler]</w:t>
      </w:r>
      <w:r>
        <w:rPr/>
        <w:t xml:space="preserve"> yetkilidir (HMK m. 17).</w:t>
      </w:r>
    </w:p>
    <w:p>
      <w:r>
        <w:rPr>
          <w:b/>
        </w:rPr>
        <w:t>27.4</w:t>
      </w:r>
      <w:r>
        <w:rPr/>
        <w:t xml:space="preserve"> Yurt dışında yerleşik Müşteri'lerle doğacak uyuşmazlıklar, İstanbul Tahkim Merkezi (İSTAÇ) Tahkim Kuralları uyarınca tek hakemle, tahkim yeri İstanbul ve tahkim dili İngilizce olmak üzere nihai olarak çözülür.</w:t>
      </w:r>
    </w:p>
    <w:p>
      <w:pPr>
        <w:pStyle w:val="Heading2"/>
      </w:pPr>
      <w:r>
        <w:rPr/>
        <w:t>28. ÇEŞİTLİ HÜKÜMLER</w:t>
      </w:r>
    </w:p>
    <w:p>
      <w:r>
        <w:rPr>
          <w:b/>
        </w:rPr>
        <w:t>28.1 Bütünlük ve değişiklik.</w:t>
      </w:r>
      <w:r>
        <w:rPr/>
        <w:t xml:space="preserve"> Sözleşme ve Ekleri Taraflar'ın konuya ilişkin tüm mutabakatını içerir ve önceki teklif, yazışma ve sözlü görüşmelerin yerine geçer. Değişiklikler ancak Yazılı olarak ve iki Taraf'ın imzasıyla (çevrim içi imza dahil) geçerlidir.</w:t>
      </w:r>
    </w:p>
    <w:p>
      <w:r>
        <w:rPr>
          <w:b/>
        </w:rPr>
        <w:t>28.2 Kısmi geçersizlik.</w:t>
      </w:r>
      <w:r>
        <w:rPr/>
        <w:t xml:space="preserve"> Bir hükmün geçersiz veya uygulanamaz olması diğer hükümleri etkilemez; geçersiz hüküm, Taraflar'ın amacına en yakın geçerli hükümle tamamlanır.</w:t>
      </w:r>
    </w:p>
    <w:p>
      <w:r>
        <w:rPr>
          <w:b/>
        </w:rPr>
        <w:t>28.3 Haklardan feragat.</w:t>
      </w:r>
      <w:r>
        <w:rPr/>
        <w:t xml:space="preserve"> Bir hakkın kullanılmaması veya geç kullanılması o haktan feragat anlamına gelmez.</w:t>
      </w:r>
    </w:p>
    <w:p>
      <w:r>
        <w:rPr>
          <w:b/>
        </w:rPr>
        <w:t>28.4 Devir.</w:t>
      </w:r>
      <w:r>
        <w:rPr/>
        <w:t xml:space="preserve"> Müşteri, Sözleşme'den doğan hak ve yükümlülüklerini PORTWARE'in Yazılı onayı olmadan devredemez; Madde 4'teki birleşme ve devralma hâlleri saklıdır. PORTWARE Sözleşme'yi, Müşteri'ye Yazılı bildirimde bulunarak, grup şirketlerine veya ilgili işi devralan halefine devredebilir.</w:t>
      </w:r>
    </w:p>
    <w:p>
      <w:r>
        <w:rPr>
          <w:b/>
        </w:rPr>
        <w:t>28.5 Alt yükleniciler.</w:t>
      </w:r>
      <w:r>
        <w:rPr/>
        <w:t xml:space="preserve"> PORTWARE yükümlülüklerini yerine getirirken alt yüklenicilerden yararlanabilir; alt yüklenicilerin fiillerinden kendi fiili gibi sorumludur.</w:t>
      </w:r>
    </w:p>
    <w:p>
      <w:r>
        <w:rPr>
          <w:b/>
        </w:rPr>
        <w:t>28.6 Bağımsız taraflar.</w:t>
      </w:r>
      <w:r>
        <w:rPr/>
        <w:t xml:space="preserve"> Taraflar bağımsız sözleşme taraflarıdır; bu Sözleşme ortaklık, acentelik, temsil veya iş ilişkisi kurmaz.</w:t>
      </w:r>
    </w:p>
    <w:p>
      <w:r>
        <w:rPr>
          <w:b/>
        </w:rPr>
        <w:t>28.7 Mevzuata uyum.</w:t>
      </w:r>
      <w:r>
        <w:rPr/>
        <w:t xml:space="preserve"> Taraflar; rüşvet ve yolsuzlukla mücadele, ihracat kontrolü ve yaptırım mevzuatına uygun hareket eder. Müşteri, Yazılım'ı uygulanabilir yaptırım mevzuatına aykırı olarak kullanmayacağını ve yaptırım listelerinde yer almadığını beyan eder.</w:t>
      </w:r>
    </w:p>
    <w:p>
      <w:r>
        <w:rPr>
          <w:b/>
        </w:rPr>
        <w:t>28.8 Dil.</w:t>
      </w:r>
      <w:r>
        <w:rPr/>
        <w:t xml:space="preserve"> Sözleşme'nin Türkçe ve İngilizce metinleri arasında çelişki olması hâlinde Türkçe metin esas alınır.</w:t>
      </w:r>
    </w:p>
    <w:p>
      <w:r>
        <w:rPr>
          <w:b/>
        </w:rPr>
        <w:t>28.9</w:t>
      </w:r>
      <w:r>
        <w:rPr/>
        <w:t xml:space="preserve"> Bu Sözleşme 28 madde ve 7 ekten oluşur ve Taraflar'ca okunup kabul edilerek imzalanmıştır.</w:t>
      </w:r>
    </w:p>
    <w:p>
      <w:r>
        <w:rPr>
          <w:color w:val="92400E"/>
          <w:shd w:val="clear" w:color="auto" w:fill="FEF3C7"/>
        </w:rPr>
        <w:t>[imzalar]</w:t>
      </w:r>
    </w:p>
    <w:p>
      <w:pPr>
        <w:pStyle w:val="Heading2"/>
      </w:pPr>
      <w:r>
        <w:rPr/>
        <w:t>EK-1 — SİPARİŞ FORMU VE FİYAT EKİ</w:t>
      </w:r>
    </w:p>
    <w:tbl>
      <w:tblPr>
        <w:tblStyle w:val="TableGrid"/>
        <w:tblW w:type="auto" w:w="0"/>
        <w:jc w:val="center"/>
        <w:tblLayout w:type="fixed"/>
        <w:tblLook w:firstColumn="1" w:firstRow="1" w:lastColumn="0" w:lastRow="0" w:noHBand="0" w:noVBand="1" w:val="04A0"/>
      </w:tblPr>
      <w:tblGrid>
        <w:gridCol w:w="5681"/>
        <w:gridCol w:w="4545"/>
      </w:tblGrid>
      <w:tr>
        <w:tc>
          <w:tcPr>
            <w:tcW w:type="dxa" w:w="5681"/>
            <w:shd w:val="clear" w:color="auto" w:fill="E6F2F3"/>
          </w:tcPr>
          <w:p>
            <w:pPr>
              <w:spacing w:after="0" w:before="0"/>
            </w:pPr>
            <w:r>
              <w:rPr>
                <w:b/>
              </w:rPr>
              <w:t>Müşteri</w:t>
            </w:r>
          </w:p>
        </w:tc>
        <w:tc>
          <w:tcPr>
            <w:tcW w:type="dxa" w:w="4545"/>
          </w:tcPr>
          <w:p>
            <w:pPr>
              <w:spacing w:after="0" w:before="0"/>
            </w:pPr>
            <w:r>
              <w:rPr>
                <w:color w:val="92400E"/>
                <w:shd w:val="clear" w:color="auto" w:fill="FEF3C7"/>
              </w:rPr>
              <w:t>[müşteri ticaret unvanı]</w:t>
            </w:r>
          </w:p>
        </w:tc>
      </w:tr>
      <w:tr>
        <w:tc>
          <w:tcPr>
            <w:tcW w:type="dxa" w:w="5681"/>
            <w:shd w:val="clear" w:color="auto" w:fill="E6F2F3"/>
          </w:tcPr>
          <w:p>
            <w:pPr>
              <w:spacing w:after="0" w:before="0"/>
            </w:pPr>
            <w:r>
              <w:rPr>
                <w:b/>
              </w:rPr>
              <w:t>Teklif / Sipariş No</w:t>
            </w:r>
          </w:p>
        </w:tc>
        <w:tc>
          <w:tcPr>
            <w:tcW w:type="dxa" w:w="4545"/>
          </w:tcPr>
          <w:p>
            <w:pPr>
              <w:spacing w:after="0" w:before="0"/>
            </w:pPr>
            <w:r>
              <w:rPr>
                <w:color w:val="92400E"/>
                <w:shd w:val="clear" w:color="auto" w:fill="FEF3C7"/>
              </w:rPr>
              <w:t>[teklif no]</w:t>
            </w:r>
          </w:p>
        </w:tc>
      </w:tr>
      <w:tr>
        <w:tc>
          <w:tcPr>
            <w:tcW w:type="dxa" w:w="5681"/>
            <w:shd w:val="clear" w:color="auto" w:fill="E6F2F3"/>
          </w:tcPr>
          <w:p>
            <w:pPr>
              <w:spacing w:after="0" w:before="0"/>
            </w:pPr>
            <w:r>
              <w:rPr>
                <w:b/>
              </w:rPr>
              <w:t>Lisanslı Kullanıcı Sayısı</w:t>
            </w:r>
          </w:p>
        </w:tc>
        <w:tc>
          <w:tcPr>
            <w:tcW w:type="dxa" w:w="4545"/>
          </w:tcPr>
          <w:p>
            <w:pPr>
              <w:spacing w:after="0" w:before="0"/>
            </w:pPr>
            <w:r>
              <w:rPr>
                <w:color w:val="92400E"/>
                <w:shd w:val="clear" w:color="auto" w:fill="FEF3C7"/>
              </w:rPr>
              <w:t>[kullanıcı sayısı]</w:t>
            </w:r>
          </w:p>
        </w:tc>
      </w:tr>
      <w:tr>
        <w:tc>
          <w:tcPr>
            <w:tcW w:type="dxa" w:w="5681"/>
            <w:shd w:val="clear" w:color="auto" w:fill="E6F2F3"/>
          </w:tcPr>
          <w:p>
            <w:pPr>
              <w:spacing w:after="0" w:before="0"/>
            </w:pPr>
            <w:r>
              <w:rPr>
                <w:b/>
              </w:rPr>
              <w:t>Kurulum Ortamı</w:t>
            </w:r>
          </w:p>
        </w:tc>
        <w:tc>
          <w:tcPr>
            <w:tcW w:type="dxa" w:w="4545"/>
          </w:tcPr>
          <w:p>
            <w:pPr>
              <w:spacing w:after="0" w:before="0"/>
            </w:pPr>
            <w:r>
              <w:rPr>
                <w:color w:val="92400E"/>
                <w:shd w:val="clear" w:color="auto" w:fill="FEF3C7"/>
              </w:rPr>
              <w:t>[seçilen kurulum ortamı]</w:t>
            </w:r>
          </w:p>
        </w:tc>
      </w:tr>
      <w:tr>
        <w:tc>
          <w:tcPr>
            <w:tcW w:type="dxa" w:w="5681"/>
            <w:shd w:val="clear" w:color="auto" w:fill="E6F2F3"/>
          </w:tcPr>
          <w:p>
            <w:pPr>
              <w:spacing w:after="0" w:before="0"/>
            </w:pPr>
            <w:r>
              <w:rPr>
                <w:b/>
              </w:rPr>
              <w:t>Para Birimi</w:t>
            </w:r>
          </w:p>
        </w:tc>
        <w:tc>
          <w:tcPr>
            <w:tcW w:type="dxa" w:w="4545"/>
          </w:tcPr>
          <w:p>
            <w:pPr>
              <w:spacing w:after="0" w:before="0"/>
            </w:pPr>
            <w:r>
              <w:rPr>
                <w:color w:val="92400E"/>
                <w:shd w:val="clear" w:color="auto" w:fill="FEF3C7"/>
              </w:rPr>
              <w:t>[para birimi]</w:t>
            </w:r>
          </w:p>
        </w:tc>
      </w:tr>
      <w:tr>
        <w:tc>
          <w:tcPr>
            <w:tcW w:type="dxa" w:w="5681"/>
            <w:shd w:val="clear" w:color="auto" w:fill="E6F2F3"/>
          </w:tcPr>
          <w:p>
            <w:pPr>
              <w:spacing w:after="0" w:before="0"/>
            </w:pPr>
            <w:r>
              <w:rPr>
                <w:b/>
              </w:rPr>
              <w:t>Bakım ve Güncelleme Başlangıcı</w:t>
            </w:r>
          </w:p>
        </w:tc>
        <w:tc>
          <w:tcPr>
            <w:tcW w:type="dxa" w:w="4545"/>
          </w:tcPr>
          <w:p>
            <w:pPr>
              <w:spacing w:after="0" w:before="0"/>
            </w:pPr>
            <w:r>
              <w:rPr>
                <w:color w:val="92400E"/>
                <w:shd w:val="clear" w:color="auto" w:fill="FEF3C7"/>
              </w:rPr>
              <w:t>[başlangıç tarihi]</w:t>
            </w:r>
          </w:p>
        </w:tc>
      </w:tr>
      <w:tr>
        <w:tc>
          <w:tcPr>
            <w:tcW w:type="dxa" w:w="5681"/>
            <w:shd w:val="clear" w:color="auto" w:fill="E6F2F3"/>
          </w:tcPr>
          <w:p>
            <w:pPr>
              <w:spacing w:after="0" w:before="0"/>
            </w:pPr>
            <w:r>
              <w:rPr>
                <w:b/>
              </w:rPr>
              <w:t>Ödeme Koşulu</w:t>
            </w:r>
          </w:p>
        </w:tc>
        <w:tc>
          <w:tcPr>
            <w:tcW w:type="dxa" w:w="4545"/>
          </w:tcPr>
          <w:p>
            <w:pPr>
              <w:spacing w:after="0" w:before="0"/>
            </w:pPr>
            <w:r>
              <w:rPr>
                <w:color w:val="92400E"/>
                <w:shd w:val="clear" w:color="auto" w:fill="FEF3C7"/>
              </w:rPr>
              <w:t>[ödeme koşulları]</w:t>
            </w:r>
          </w:p>
        </w:tc>
      </w:tr>
    </w:tbl>
    <w:p/>
    <w:p>
      <w:pPr>
        <w:pStyle w:val="Heading3"/>
      </w:pPr>
      <w:r>
        <w:rPr/>
        <w:t>Satın alınan kalemler</w:t>
      </w:r>
    </w:p>
    <w:p>
      <w:r>
        <w:rPr>
          <w:color w:val="92400E"/>
          <w:shd w:val="clear" w:color="auto" w:fill="FEF3C7"/>
        </w:rPr>
        <w:t>[teklifinizdeki kalemler, miktarlar ve fiyatlar]</w:t>
      </w:r>
    </w:p>
    <w:p>
      <w:r>
        <w:rPr/>
        <w:t xml:space="preserve">Bedellere KDV dahil değildir. Lisans Bedeli bir defaya mahsustur ve Standart Devreye Alma'yı (Madde 5.4) kapsar. Bakım ve Güncelleme, Destek paketi ve Sunucu ve Barındırma Hizmeti dönemsel hizmetlerdir ve Madde 7.3 ile 8.3'e göre yenilenir. </w:t>
      </w:r>
      <w:r>
        <w:rPr>
          <w:b/>
        </w:rPr>
        <w:t>Sunucu, Sipariş Formu'nda ayrı bir kalem olarak yer almadıkça bedele dahil değildir</w:t>
      </w:r>
      <w:r>
        <w:rPr/>
        <w:t xml:space="preserve"> (Madde 6).</w:t>
      </w:r>
    </w:p>
    <w:p>
      <w:pPr>
        <w:pStyle w:val="Heading2"/>
      </w:pPr>
      <w:r>
        <w:rPr/>
        <w:t>EK-2 — SUNUCU, BARINDIRMA VE KURULUM ORTAMI EKİ</w:t>
      </w:r>
    </w:p>
    <w:p>
      <w:pPr>
        <w:pStyle w:val="Heading3"/>
      </w:pPr>
      <w:r>
        <w:rPr/>
        <w:t>1. Kurulum Ortamı seçenekleri</w:t>
      </w:r>
    </w:p>
    <w:tbl>
      <w:tblPr>
        <w:tblStyle w:val="TableGrid"/>
        <w:tblW w:type="auto" w:w="0"/>
        <w:jc w:val="center"/>
        <w:tblLayout w:type="fixed"/>
        <w:tblLook w:firstColumn="1" w:firstRow="1" w:lastColumn="0" w:lastRow="0" w:noHBand="0" w:noVBand="1" w:val="04A0"/>
      </w:tblPr>
      <w:tblGrid>
        <w:gridCol w:w="1285"/>
        <w:gridCol w:w="3212"/>
        <w:gridCol w:w="2516"/>
        <w:gridCol w:w="3212"/>
      </w:tblGrid>
      <w:tr>
        <w:tc>
          <w:tcPr>
            <w:tcW w:type="dxa" w:w="1285"/>
            <w:shd w:val="clear" w:color="auto" w:fill="E6F2F3"/>
          </w:tcPr>
          <w:p>
            <w:pPr>
              <w:spacing w:after="0" w:before="0"/>
            </w:pPr>
            <w:r>
              <w:rPr>
                <w:b/>
              </w:rPr>
              <w:t>Seçenek</w:t>
            </w:r>
          </w:p>
        </w:tc>
        <w:tc>
          <w:tcPr>
            <w:tcW w:type="dxa" w:w="3212"/>
            <w:shd w:val="clear" w:color="auto" w:fill="E6F2F3"/>
          </w:tcPr>
          <w:p>
            <w:pPr>
              <w:spacing w:after="0" w:before="0"/>
            </w:pPr>
            <w:r>
              <w:rPr>
                <w:b/>
              </w:rPr>
              <w:t>Sunucuyu kim sağlar</w:t>
            </w:r>
          </w:p>
        </w:tc>
        <w:tc>
          <w:tcPr>
            <w:tcW w:type="dxa" w:w="2516"/>
            <w:shd w:val="clear" w:color="auto" w:fill="E6F2F3"/>
          </w:tcPr>
          <w:p>
            <w:pPr>
              <w:spacing w:after="0" w:before="0"/>
            </w:pPr>
            <w:r>
              <w:rPr>
                <w:b/>
              </w:rPr>
              <w:t>İşletim, yedek ve güvenlik</w:t>
            </w:r>
          </w:p>
        </w:tc>
        <w:tc>
          <w:tcPr>
            <w:tcW w:type="dxa" w:w="3212"/>
            <w:shd w:val="clear" w:color="auto" w:fill="E6F2F3"/>
          </w:tcPr>
          <w:p>
            <w:pPr>
              <w:spacing w:after="0" w:before="0"/>
            </w:pPr>
            <w:r>
              <w:rPr>
                <w:b/>
              </w:rPr>
              <w:t>Bedel</w:t>
            </w:r>
          </w:p>
        </w:tc>
      </w:tr>
      <w:tr>
        <w:tc>
          <w:tcPr>
            <w:tcW w:type="dxa" w:w="1285"/>
          </w:tcPr>
          <w:p>
            <w:pPr>
              <w:spacing w:after="0" w:before="0"/>
            </w:pPr>
            <w:r>
              <w:rPr/>
              <w:t>PORTWARE Bulut</w:t>
            </w:r>
          </w:p>
        </w:tc>
        <w:tc>
          <w:tcPr>
            <w:tcW w:type="dxa" w:w="3212"/>
          </w:tcPr>
          <w:p>
            <w:pPr>
              <w:spacing w:after="0" w:before="0"/>
            </w:pPr>
            <w:r>
              <w:rPr/>
              <w:t>PORTWARE (Hetzner, AWS, Azure, Google Cloud vb. veya PORTWARE kaynakları)</w:t>
            </w:r>
          </w:p>
        </w:tc>
        <w:tc>
          <w:tcPr>
            <w:tcW w:type="dxa" w:w="2516"/>
          </w:tcPr>
          <w:p>
            <w:pPr>
              <w:spacing w:after="0" w:before="0"/>
            </w:pPr>
            <w:r>
              <w:rPr/>
              <w:t>PORTWARE</w:t>
            </w:r>
          </w:p>
        </w:tc>
        <w:tc>
          <w:tcPr>
            <w:tcW w:type="dxa" w:w="3212"/>
          </w:tcPr>
          <w:p>
            <w:pPr>
              <w:spacing w:after="0" w:before="0"/>
            </w:pPr>
            <w:r>
              <w:rPr/>
              <w:t>Sunucu ve Barındırma Hizmeti bedeli</w:t>
            </w:r>
          </w:p>
        </w:tc>
      </w:tr>
      <w:tr>
        <w:tc>
          <w:tcPr>
            <w:tcW w:type="dxa" w:w="1285"/>
          </w:tcPr>
          <w:p>
            <w:pPr>
              <w:spacing w:after="0" w:before="0"/>
            </w:pPr>
            <w:r>
              <w:rPr/>
              <w:t>Müşteri'nin bulut hesabı</w:t>
            </w:r>
          </w:p>
        </w:tc>
        <w:tc>
          <w:tcPr>
            <w:tcW w:type="dxa" w:w="3212"/>
          </w:tcPr>
          <w:p>
            <w:pPr>
              <w:spacing w:after="0" w:before="0"/>
            </w:pPr>
            <w:r>
              <w:rPr/>
              <w:t>Müşteri</w:t>
            </w:r>
          </w:p>
        </w:tc>
        <w:tc>
          <w:tcPr>
            <w:tcW w:type="dxa" w:w="2516"/>
          </w:tcPr>
          <w:p>
            <w:pPr>
              <w:spacing w:after="0" w:before="0"/>
            </w:pPr>
            <w:r>
              <w:rPr/>
              <w:t>Müşteri (isteğe bağlı PORTWARE Sunucu Yönetimi)</w:t>
            </w:r>
          </w:p>
        </w:tc>
        <w:tc>
          <w:tcPr>
            <w:tcW w:type="dxa" w:w="3212"/>
          </w:tcPr>
          <w:p>
            <w:pPr>
              <w:spacing w:after="0" w:before="0"/>
            </w:pPr>
            <w:r>
              <w:rPr/>
              <w:t>Sağlayıcıya Müşteri öder; Standart Devreye Alma lisansa dahil</w:t>
            </w:r>
          </w:p>
        </w:tc>
      </w:tr>
      <w:tr>
        <w:tc>
          <w:tcPr>
            <w:tcW w:type="dxa" w:w="1285"/>
          </w:tcPr>
          <w:p>
            <w:pPr>
              <w:spacing w:after="0" w:before="0"/>
            </w:pPr>
            <w:r>
              <w:rPr/>
              <w:t>Şirket içi sunucu</w:t>
            </w:r>
          </w:p>
        </w:tc>
        <w:tc>
          <w:tcPr>
            <w:tcW w:type="dxa" w:w="3212"/>
          </w:tcPr>
          <w:p>
            <w:pPr>
              <w:spacing w:after="0" w:before="0"/>
            </w:pPr>
            <w:r>
              <w:rPr/>
              <w:t>Müşteri</w:t>
            </w:r>
          </w:p>
        </w:tc>
        <w:tc>
          <w:tcPr>
            <w:tcW w:type="dxa" w:w="2516"/>
          </w:tcPr>
          <w:p>
            <w:pPr>
              <w:spacing w:after="0" w:before="0"/>
            </w:pPr>
            <w:r>
              <w:rPr/>
              <w:t>Müşteri (isteğe bağlı PORTWARE Sunucu Yönetimi)</w:t>
            </w:r>
          </w:p>
        </w:tc>
        <w:tc>
          <w:tcPr>
            <w:tcW w:type="dxa" w:w="3212"/>
          </w:tcPr>
          <w:p>
            <w:pPr>
              <w:spacing w:after="0" w:before="0"/>
            </w:pPr>
            <w:r>
              <w:rPr/>
              <w:t>Standart Devreye Alma lisansa dahil</w:t>
            </w:r>
          </w:p>
        </w:tc>
      </w:tr>
      <w:tr>
        <w:tc>
          <w:tcPr>
            <w:tcW w:type="dxa" w:w="1285"/>
          </w:tcPr>
          <w:p>
            <w:pPr>
              <w:spacing w:after="0" w:before="0"/>
            </w:pPr>
            <w:r>
              <w:rPr/>
              <w:t>Müşteri'nin bilgisayarı</w:t>
            </w:r>
          </w:p>
        </w:tc>
        <w:tc>
          <w:tcPr>
            <w:tcW w:type="dxa" w:w="3212"/>
          </w:tcPr>
          <w:p>
            <w:pPr>
              <w:spacing w:after="0" w:before="0"/>
            </w:pPr>
            <w:r>
              <w:rPr/>
              <w:t>Müşteri</w:t>
            </w:r>
          </w:p>
        </w:tc>
        <w:tc>
          <w:tcPr>
            <w:tcW w:type="dxa" w:w="2516"/>
          </w:tcPr>
          <w:p>
            <w:pPr>
              <w:spacing w:after="0" w:before="0"/>
            </w:pPr>
            <w:r>
              <w:rPr/>
              <w:t>Müşteri</w:t>
            </w:r>
          </w:p>
        </w:tc>
        <w:tc>
          <w:tcPr>
            <w:tcW w:type="dxa" w:w="3212"/>
          </w:tcPr>
          <w:p>
            <w:pPr>
              <w:spacing w:after="0" w:before="0"/>
            </w:pPr>
            <w:r>
              <w:rPr/>
              <w:t>Standart Devreye Alma lisansa dahil</w:t>
            </w:r>
          </w:p>
        </w:tc>
      </w:tr>
    </w:tbl>
    <w:p/>
    <w:p>
      <w:pPr>
        <w:pStyle w:val="Heading3"/>
      </w:pPr>
      <w:r>
        <w:rPr/>
        <w:t>2. Asgari sunucu gereksinimleri (öneri)</w:t>
      </w:r>
    </w:p>
    <w:tbl>
      <w:tblPr>
        <w:tblStyle w:val="TableGrid"/>
        <w:tblW w:type="auto" w:w="0"/>
        <w:jc w:val="center"/>
        <w:tblLayout w:type="fixed"/>
        <w:tblLook w:firstColumn="1" w:firstRow="1" w:lastColumn="0" w:lastRow="0" w:noHBand="0" w:noVBand="1" w:val="04A0"/>
      </w:tblPr>
      <w:tblGrid>
        <w:gridCol w:w="3636"/>
        <w:gridCol w:w="2272"/>
        <w:gridCol w:w="2045"/>
        <w:gridCol w:w="2272"/>
      </w:tblGrid>
      <w:tr>
        <w:tc>
          <w:tcPr>
            <w:tcW w:type="dxa" w:w="3636"/>
            <w:shd w:val="clear" w:color="auto" w:fill="E6F2F3"/>
          </w:tcPr>
          <w:p>
            <w:pPr>
              <w:spacing w:after="0" w:before="0"/>
            </w:pPr>
            <w:r>
              <w:rPr>
                <w:b/>
              </w:rPr>
              <w:t>Kullanıcı sayısı</w:t>
            </w:r>
          </w:p>
        </w:tc>
        <w:tc>
          <w:tcPr>
            <w:tcW w:type="dxa" w:w="2272"/>
            <w:shd w:val="clear" w:color="auto" w:fill="E6F2F3"/>
          </w:tcPr>
          <w:p>
            <w:pPr>
              <w:spacing w:after="0" w:before="0"/>
            </w:pPr>
            <w:r>
              <w:rPr>
                <w:b/>
              </w:rPr>
              <w:t>İşlemci</w:t>
            </w:r>
          </w:p>
        </w:tc>
        <w:tc>
          <w:tcPr>
            <w:tcW w:type="dxa" w:w="2045"/>
            <w:shd w:val="clear" w:color="auto" w:fill="E6F2F3"/>
          </w:tcPr>
          <w:p>
            <w:pPr>
              <w:spacing w:after="0" w:before="0"/>
            </w:pPr>
            <w:r>
              <w:rPr>
                <w:b/>
              </w:rPr>
              <w:t>Bellek</w:t>
            </w:r>
          </w:p>
        </w:tc>
        <w:tc>
          <w:tcPr>
            <w:tcW w:type="dxa" w:w="2272"/>
            <w:shd w:val="clear" w:color="auto" w:fill="E6F2F3"/>
          </w:tcPr>
          <w:p>
            <w:pPr>
              <w:spacing w:after="0" w:before="0"/>
            </w:pPr>
            <w:r>
              <w:rPr>
                <w:b/>
              </w:rPr>
              <w:t>Disk (SSD)</w:t>
            </w:r>
          </w:p>
        </w:tc>
      </w:tr>
      <w:tr>
        <w:tc>
          <w:tcPr>
            <w:tcW w:type="dxa" w:w="3636"/>
          </w:tcPr>
          <w:p>
            <w:pPr>
              <w:spacing w:after="0" w:before="0"/>
            </w:pPr>
            <w:r>
              <w:rPr/>
              <w:t>1–10</w:t>
            </w:r>
          </w:p>
        </w:tc>
        <w:tc>
          <w:tcPr>
            <w:tcW w:type="dxa" w:w="2272"/>
          </w:tcPr>
          <w:p>
            <w:pPr>
              <w:spacing w:after="0" w:before="0"/>
            </w:pPr>
            <w:r>
              <w:rPr/>
              <w:t>4 vCPU</w:t>
            </w:r>
          </w:p>
        </w:tc>
        <w:tc>
          <w:tcPr>
            <w:tcW w:type="dxa" w:w="2045"/>
          </w:tcPr>
          <w:p>
            <w:pPr>
              <w:spacing w:after="0" w:before="0"/>
            </w:pPr>
            <w:r>
              <w:rPr/>
              <w:t>8 GB</w:t>
            </w:r>
          </w:p>
        </w:tc>
        <w:tc>
          <w:tcPr>
            <w:tcW w:type="dxa" w:w="2272"/>
          </w:tcPr>
          <w:p>
            <w:pPr>
              <w:spacing w:after="0" w:before="0"/>
            </w:pPr>
            <w:r>
              <w:rPr/>
              <w:t>100 GB</w:t>
            </w:r>
          </w:p>
        </w:tc>
      </w:tr>
      <w:tr>
        <w:tc>
          <w:tcPr>
            <w:tcW w:type="dxa" w:w="3636"/>
          </w:tcPr>
          <w:p>
            <w:pPr>
              <w:spacing w:after="0" w:before="0"/>
            </w:pPr>
            <w:r>
              <w:rPr/>
              <w:t>11–50</w:t>
            </w:r>
          </w:p>
        </w:tc>
        <w:tc>
          <w:tcPr>
            <w:tcW w:type="dxa" w:w="2272"/>
          </w:tcPr>
          <w:p>
            <w:pPr>
              <w:spacing w:after="0" w:before="0"/>
            </w:pPr>
            <w:r>
              <w:rPr/>
              <w:t>8 vCPU</w:t>
            </w:r>
          </w:p>
        </w:tc>
        <w:tc>
          <w:tcPr>
            <w:tcW w:type="dxa" w:w="2045"/>
          </w:tcPr>
          <w:p>
            <w:pPr>
              <w:spacing w:after="0" w:before="0"/>
            </w:pPr>
            <w:r>
              <w:rPr/>
              <w:t>16 GB</w:t>
            </w:r>
          </w:p>
        </w:tc>
        <w:tc>
          <w:tcPr>
            <w:tcW w:type="dxa" w:w="2272"/>
          </w:tcPr>
          <w:p>
            <w:pPr>
              <w:spacing w:after="0" w:before="0"/>
            </w:pPr>
            <w:r>
              <w:rPr/>
              <w:t>250 GB</w:t>
            </w:r>
          </w:p>
        </w:tc>
      </w:tr>
      <w:tr>
        <w:tc>
          <w:tcPr>
            <w:tcW w:type="dxa" w:w="3636"/>
          </w:tcPr>
          <w:p>
            <w:pPr>
              <w:spacing w:after="0" w:before="0"/>
            </w:pPr>
            <w:r>
              <w:rPr/>
              <w:t>51–150</w:t>
            </w:r>
          </w:p>
        </w:tc>
        <w:tc>
          <w:tcPr>
            <w:tcW w:type="dxa" w:w="2272"/>
          </w:tcPr>
          <w:p>
            <w:pPr>
              <w:spacing w:after="0" w:before="0"/>
            </w:pPr>
            <w:r>
              <w:rPr/>
              <w:t>16 vCPU</w:t>
            </w:r>
          </w:p>
        </w:tc>
        <w:tc>
          <w:tcPr>
            <w:tcW w:type="dxa" w:w="2045"/>
          </w:tcPr>
          <w:p>
            <w:pPr>
              <w:spacing w:after="0" w:before="0"/>
            </w:pPr>
            <w:r>
              <w:rPr/>
              <w:t>32–64 GB</w:t>
            </w:r>
          </w:p>
        </w:tc>
        <w:tc>
          <w:tcPr>
            <w:tcW w:type="dxa" w:w="2272"/>
          </w:tcPr>
          <w:p>
            <w:pPr>
              <w:spacing w:after="0" w:before="0"/>
            </w:pPr>
            <w:r>
              <w:rPr/>
              <w:t>500 GB</w:t>
            </w:r>
          </w:p>
        </w:tc>
      </w:tr>
      <w:tr>
        <w:tc>
          <w:tcPr>
            <w:tcW w:type="dxa" w:w="3636"/>
          </w:tcPr>
          <w:p>
            <w:pPr>
              <w:spacing w:after="0" w:before="0"/>
            </w:pPr>
            <w:r>
              <w:rPr/>
              <w:t>151 ve üzeri</w:t>
            </w:r>
          </w:p>
        </w:tc>
        <w:tc>
          <w:tcPr>
            <w:tcW w:type="dxa" w:w="2272"/>
            <w:gridSpan w:val="3"/>
          </w:tcPr>
          <w:p>
            <w:pPr>
              <w:spacing w:after="0" w:before="0"/>
            </w:pPr>
            <w:r>
              <w:rPr/>
              <w:t>Mimari ve kapasite planlamasıyla belirlenir</w:t>
            </w:r>
          </w:p>
        </w:tc>
      </w:tr>
    </w:tbl>
    <w:p/>
    <w:p>
      <w:r>
        <w:rPr/>
        <w:t>Yazılım ortamı: Ubuntu Server LTS (güncel destekli sürüm), PostgreSQL 16 veya üzeri, Python 3.12, nginx ve geçerli bir SSL sertifikası; sabit bir alan adı veya IP adresi; giden HTTPS (443) erişimi; PORTWARE için güvenli uzaktan erişim. SODOO Office (ONLYOFFICE Docs) için ek olarak en az 4 GB bellek önerilir. Yedek disk alanı, veritabanı ve dosya deposu boyutunun en az üç katı olmalıdır.</w:t>
      </w:r>
    </w:p>
    <w:p>
      <w:pPr>
        <w:pStyle w:val="Heading3"/>
      </w:pPr>
      <w:r>
        <w:rPr/>
        <w:t>3. Müşteri'nin bilgisayarına kurulumun sınırları</w:t>
      </w:r>
    </w:p>
    <w:p>
      <w:r>
        <w:rPr/>
        <w:t>Yerel kurulumda Yazılım yalnız bilgisayar açık ve ağa bağlıyken erişilebilirdir; şirket dışından erişim, mobil kullanım, e-posta alma ve otomatik görevler sınırlı olabilir. Yedekleme, işletim sistemi güncellemeleri ve donanım arızaları Müşteri'nin sorumluluğundadır. Bu seçenek 5 Kullanıcı'yı aşan veya kesintisiz çalışma gerektiren kullanımlar için önerilmez.</w:t>
      </w:r>
    </w:p>
    <w:p>
      <w:pPr>
        <w:pStyle w:val="Heading3"/>
      </w:pPr>
      <w:r>
        <w:rPr/>
        <w:t>4. PORTWARE Bulut hizmetinin kapsamı</w:t>
      </w:r>
    </w:p>
    <w:p>
      <w:pPr>
        <w:pStyle w:val="ListBullet"/>
      </w:pPr>
      <w:r>
        <w:rPr/>
        <w:t>Sunucunun temini, kurulumu, işletim sistemi ve güvenlik yamalarının uygulanması</w:t>
      </w:r>
    </w:p>
    <w:p>
      <w:pPr>
        <w:pStyle w:val="ListBullet"/>
      </w:pPr>
      <w:r>
        <w:rPr/>
        <w:t>Günlük veritabanı ve dosya deposu yedeği, en az 30 gün saklama, farklı bir veri merkezinde yedek kopya</w:t>
      </w:r>
    </w:p>
    <w:p>
      <w:pPr>
        <w:pStyle w:val="ListBullet"/>
      </w:pPr>
      <w:r>
        <w:rPr/>
        <w:t>7/24 otomatik erişilebilirlik izleme, TLS sertifikası, güvenlik duvarı</w:t>
      </w:r>
    </w:p>
    <w:p>
      <w:pPr>
        <w:pStyle w:val="ListBullet"/>
      </w:pPr>
      <w:r>
        <w:rPr/>
        <w:t>Kapasite izleme; kapasite artışı gerektiğinde Müşteri'ye teklif</w:t>
      </w:r>
    </w:p>
    <w:p>
      <w:pPr>
        <w:pStyle w:val="ListBullet"/>
      </w:pPr>
      <w:r>
        <w:rPr/>
        <w:t>Hizmet seviyeleri Ek-3'e tabidir</w:t>
      </w:r>
    </w:p>
    <w:p>
      <w:r>
        <w:rPr/>
        <w:t>Kapsam dışı: Müşteri'ye özel e-posta sunucusu, Müşteri'nin internet bağlantısı, Üçüncü Taraf Ürün ve Hizmetleri, Müşteri'nin talebiyle yapılan olağan dışı geri yüklemeler (yılda iki talepten sonrası ücretlidir).</w:t>
      </w:r>
    </w:p>
    <w:p>
      <w:pPr>
        <w:pStyle w:val="Heading2"/>
      </w:pPr>
      <w:r>
        <w:rPr/>
        <w:t>EK-3 — DESTEK VE HİZMET SEVİYESİ EKİ (SLA)</w:t>
      </w:r>
    </w:p>
    <w:p>
      <w:pPr>
        <w:pStyle w:val="Heading3"/>
      </w:pPr>
      <w:r>
        <w:rPr/>
        <w:t>1. Destek saatleri ve kanalları</w:t>
      </w:r>
    </w:p>
    <w:p>
      <w:r>
        <w:rPr/>
        <w:t>İş Günleri 09:00–18:00 (Türkiye saati); e-posta, destek portalı ve telefon. Öncelikli destek paketinde P1 olaylar için 7/24 ulaşılabilirlik sağlanır.</w:t>
      </w:r>
    </w:p>
    <w:p>
      <w:pPr>
        <w:pStyle w:val="Heading3"/>
      </w:pPr>
      <w:r>
        <w:rPr/>
        <w:t>2. Öncelikler ve hedef süreler</w:t>
      </w:r>
    </w:p>
    <w:tbl>
      <w:tblPr>
        <w:tblStyle w:val="TableGrid"/>
        <w:tblW w:type="auto" w:w="0"/>
        <w:jc w:val="center"/>
        <w:tblLayout w:type="fixed"/>
        <w:tblLook w:firstColumn="1" w:firstRow="1" w:lastColumn="0" w:lastRow="0" w:noHBand="0" w:noVBand="1" w:val="04A0"/>
      </w:tblPr>
      <w:tblGrid>
        <w:gridCol w:w="720"/>
        <w:gridCol w:w="4249"/>
        <w:gridCol w:w="3096"/>
        <w:gridCol w:w="2160"/>
      </w:tblGrid>
      <w:tr>
        <w:tc>
          <w:tcPr>
            <w:tcW w:type="dxa" w:w="720"/>
            <w:shd w:val="clear" w:color="auto" w:fill="E6F2F3"/>
          </w:tcPr>
          <w:p>
            <w:pPr>
              <w:spacing w:after="0" w:before="0"/>
            </w:pPr>
            <w:r>
              <w:rPr>
                <w:b/>
              </w:rPr>
              <w:t>Öncelik</w:t>
            </w:r>
          </w:p>
        </w:tc>
        <w:tc>
          <w:tcPr>
            <w:tcW w:type="dxa" w:w="4249"/>
            <w:shd w:val="clear" w:color="auto" w:fill="E6F2F3"/>
          </w:tcPr>
          <w:p>
            <w:pPr>
              <w:spacing w:after="0" w:before="0"/>
            </w:pPr>
            <w:r>
              <w:rPr>
                <w:b/>
              </w:rPr>
              <w:t>Tanım</w:t>
            </w:r>
          </w:p>
        </w:tc>
        <w:tc>
          <w:tcPr>
            <w:tcW w:type="dxa" w:w="3096"/>
            <w:shd w:val="clear" w:color="auto" w:fill="E6F2F3"/>
          </w:tcPr>
          <w:p>
            <w:pPr>
              <w:spacing w:after="0" w:before="0"/>
            </w:pPr>
            <w:r>
              <w:rPr>
                <w:b/>
              </w:rPr>
              <w:t>İlk yanıt</w:t>
            </w:r>
          </w:p>
        </w:tc>
        <w:tc>
          <w:tcPr>
            <w:tcW w:type="dxa" w:w="2160"/>
            <w:shd w:val="clear" w:color="auto" w:fill="E6F2F3"/>
          </w:tcPr>
          <w:p>
            <w:pPr>
              <w:spacing w:after="0" w:before="0"/>
            </w:pPr>
            <w:r>
              <w:rPr>
                <w:b/>
              </w:rPr>
              <w:t>Çözüm veya geçici çözüm hedefi</w:t>
            </w:r>
          </w:p>
        </w:tc>
      </w:tr>
      <w:tr>
        <w:tc>
          <w:tcPr>
            <w:tcW w:type="dxa" w:w="720"/>
          </w:tcPr>
          <w:p>
            <w:pPr>
              <w:spacing w:after="0" w:before="0"/>
            </w:pPr>
            <w:r>
              <w:rPr/>
              <w:t>P1 Kritik</w:t>
            </w:r>
          </w:p>
        </w:tc>
        <w:tc>
          <w:tcPr>
            <w:tcW w:type="dxa" w:w="4249"/>
          </w:tcPr>
          <w:p>
            <w:pPr>
              <w:spacing w:after="0" w:before="0"/>
            </w:pPr>
            <w:r>
              <w:rPr/>
              <w:t>Canlı sistem erişilemez veya veri kaybı riski</w:t>
            </w:r>
          </w:p>
        </w:tc>
        <w:tc>
          <w:tcPr>
            <w:tcW w:type="dxa" w:w="3096"/>
          </w:tcPr>
          <w:p>
            <w:pPr>
              <w:spacing w:after="0" w:before="0"/>
            </w:pPr>
            <w:r>
              <w:rPr/>
              <w:t>2 iş saati (öncelikli pakette 1 saat, 7/24)</w:t>
            </w:r>
          </w:p>
        </w:tc>
        <w:tc>
          <w:tcPr>
            <w:tcW w:type="dxa" w:w="2160"/>
          </w:tcPr>
          <w:p>
            <w:pPr>
              <w:spacing w:after="0" w:before="0"/>
            </w:pPr>
            <w:r>
              <w:rPr/>
              <w:t>1 iş günü</w:t>
            </w:r>
          </w:p>
        </w:tc>
      </w:tr>
      <w:tr>
        <w:tc>
          <w:tcPr>
            <w:tcW w:type="dxa" w:w="720"/>
          </w:tcPr>
          <w:p>
            <w:pPr>
              <w:spacing w:after="0" w:before="0"/>
            </w:pPr>
            <w:r>
              <w:rPr/>
              <w:t>P2 Yüksek</w:t>
            </w:r>
          </w:p>
        </w:tc>
        <w:tc>
          <w:tcPr>
            <w:tcW w:type="dxa" w:w="4249"/>
          </w:tcPr>
          <w:p>
            <w:pPr>
              <w:spacing w:after="0" w:before="0"/>
            </w:pPr>
            <w:r>
              <w:rPr/>
              <w:t>Ana bir süreç (satış, fatura, üretim) durdu, geçici yol yok</w:t>
            </w:r>
          </w:p>
        </w:tc>
        <w:tc>
          <w:tcPr>
            <w:tcW w:type="dxa" w:w="3096"/>
          </w:tcPr>
          <w:p>
            <w:pPr>
              <w:spacing w:after="0" w:before="0"/>
            </w:pPr>
            <w:r>
              <w:rPr/>
              <w:t>4 iş saati</w:t>
            </w:r>
          </w:p>
        </w:tc>
        <w:tc>
          <w:tcPr>
            <w:tcW w:type="dxa" w:w="2160"/>
          </w:tcPr>
          <w:p>
            <w:pPr>
              <w:spacing w:after="0" w:before="0"/>
            </w:pPr>
            <w:r>
              <w:rPr/>
              <w:t>2 iş günü</w:t>
            </w:r>
          </w:p>
        </w:tc>
      </w:tr>
      <w:tr>
        <w:tc>
          <w:tcPr>
            <w:tcW w:type="dxa" w:w="720"/>
          </w:tcPr>
          <w:p>
            <w:pPr>
              <w:spacing w:after="0" w:before="0"/>
            </w:pPr>
            <w:r>
              <w:rPr/>
              <w:t>P3 Normal</w:t>
            </w:r>
          </w:p>
        </w:tc>
        <w:tc>
          <w:tcPr>
            <w:tcW w:type="dxa" w:w="4249"/>
          </w:tcPr>
          <w:p>
            <w:pPr>
              <w:spacing w:after="0" w:before="0"/>
            </w:pPr>
            <w:r>
              <w:rPr/>
              <w:t>Tek işlev hatalı, geçici yol var</w:t>
            </w:r>
          </w:p>
        </w:tc>
        <w:tc>
          <w:tcPr>
            <w:tcW w:type="dxa" w:w="3096"/>
          </w:tcPr>
          <w:p>
            <w:pPr>
              <w:spacing w:after="0" w:before="0"/>
            </w:pPr>
            <w:r>
              <w:rPr/>
              <w:t>1 iş günü</w:t>
            </w:r>
          </w:p>
        </w:tc>
        <w:tc>
          <w:tcPr>
            <w:tcW w:type="dxa" w:w="2160"/>
          </w:tcPr>
          <w:p>
            <w:pPr>
              <w:spacing w:after="0" w:before="0"/>
            </w:pPr>
            <w:r>
              <w:rPr/>
              <w:t>Sonraki planlı Güncelleme</w:t>
            </w:r>
          </w:p>
        </w:tc>
      </w:tr>
      <w:tr>
        <w:tc>
          <w:tcPr>
            <w:tcW w:type="dxa" w:w="720"/>
          </w:tcPr>
          <w:p>
            <w:pPr>
              <w:spacing w:after="0" w:before="0"/>
            </w:pPr>
            <w:r>
              <w:rPr/>
              <w:t>P4 Düşük</w:t>
            </w:r>
          </w:p>
        </w:tc>
        <w:tc>
          <w:tcPr>
            <w:tcW w:type="dxa" w:w="4249"/>
          </w:tcPr>
          <w:p>
            <w:pPr>
              <w:spacing w:after="0" w:before="0"/>
            </w:pPr>
            <w:r>
              <w:rPr/>
              <w:t>Soru, iyileştirme talebi</w:t>
            </w:r>
          </w:p>
        </w:tc>
        <w:tc>
          <w:tcPr>
            <w:tcW w:type="dxa" w:w="3096"/>
          </w:tcPr>
          <w:p>
            <w:pPr>
              <w:spacing w:after="0" w:before="0"/>
            </w:pPr>
            <w:r>
              <w:rPr/>
              <w:t>2 iş günü</w:t>
            </w:r>
          </w:p>
        </w:tc>
        <w:tc>
          <w:tcPr>
            <w:tcW w:type="dxa" w:w="2160"/>
          </w:tcPr>
          <w:p>
            <w:pPr>
              <w:spacing w:after="0" w:before="0"/>
            </w:pPr>
            <w:r>
              <w:rPr/>
              <w:t>Ürün planlamasına alınır</w:t>
            </w:r>
          </w:p>
        </w:tc>
      </w:tr>
    </w:tbl>
    <w:p/>
    <w:p>
      <w:r>
        <w:rPr/>
        <w:t>Süreler hedeftir; talebin PORTWARE'e ulaştığı ve gerekli bilgi ile erişimin sağlandığı andan itibaren işler. Önceliği PORTWARE, Müşteri'nin bildirdiği etkiye göre makul olarak belirler.</w:t>
      </w:r>
    </w:p>
    <w:p>
      <w:pPr>
        <w:pStyle w:val="Heading3"/>
      </w:pPr>
      <w:r>
        <w:rPr/>
        <w:t>3. PORTWARE Bulut erişilebilirliği</w:t>
      </w:r>
    </w:p>
    <w:tbl>
      <w:tblPr>
        <w:tblStyle w:val="TableGrid"/>
        <w:tblW w:type="auto" w:w="0"/>
        <w:jc w:val="center"/>
        <w:tblLayout w:type="fixed"/>
        <w:tblLook w:firstColumn="1" w:firstRow="1" w:lastColumn="0" w:lastRow="0" w:noHBand="0" w:noVBand="1" w:val="04A0"/>
      </w:tblPr>
      <w:tblGrid>
        <w:gridCol w:w="3332"/>
        <w:gridCol w:w="6894"/>
      </w:tblGrid>
      <w:tr>
        <w:tc>
          <w:tcPr>
            <w:tcW w:type="dxa" w:w="3332"/>
            <w:shd w:val="clear" w:color="auto" w:fill="E6F2F3"/>
          </w:tcPr>
          <w:p>
            <w:pPr>
              <w:spacing w:after="0" w:before="0"/>
            </w:pPr>
            <w:r>
              <w:rPr>
                <w:b/>
              </w:rPr>
              <w:t>Ölçüt</w:t>
            </w:r>
          </w:p>
        </w:tc>
        <w:tc>
          <w:tcPr>
            <w:tcW w:type="dxa" w:w="6894"/>
            <w:shd w:val="clear" w:color="auto" w:fill="E6F2F3"/>
          </w:tcPr>
          <w:p>
            <w:pPr>
              <w:spacing w:after="0" w:before="0"/>
            </w:pPr>
            <w:r>
              <w:rPr>
                <w:b/>
              </w:rPr>
              <w:t>Hedef</w:t>
            </w:r>
          </w:p>
        </w:tc>
      </w:tr>
      <w:tr>
        <w:tc>
          <w:tcPr>
            <w:tcW w:type="dxa" w:w="3332"/>
          </w:tcPr>
          <w:p>
            <w:pPr>
              <w:spacing w:after="0" w:before="0"/>
            </w:pPr>
            <w:r>
              <w:rPr/>
              <w:t>Aylık erişilebilirlik</w:t>
            </w:r>
          </w:p>
        </w:tc>
        <w:tc>
          <w:tcPr>
            <w:tcW w:type="dxa" w:w="6894"/>
          </w:tcPr>
          <w:p>
            <w:pPr>
              <w:spacing w:after="0" w:before="0"/>
            </w:pPr>
            <w:r>
              <w:rPr/>
              <w:t>%99,5 (planlı bakım hariç)</w:t>
            </w:r>
          </w:p>
        </w:tc>
      </w:tr>
      <w:tr>
        <w:tc>
          <w:tcPr>
            <w:tcW w:type="dxa" w:w="3332"/>
          </w:tcPr>
          <w:p>
            <w:pPr>
              <w:spacing w:after="0" w:before="0"/>
            </w:pPr>
            <w:r>
              <w:rPr/>
              <w:t>Planlı bakım</w:t>
            </w:r>
          </w:p>
        </w:tc>
        <w:tc>
          <w:tcPr>
            <w:tcW w:type="dxa" w:w="6894"/>
          </w:tcPr>
          <w:p>
            <w:pPr>
              <w:spacing w:after="0" w:before="0"/>
            </w:pPr>
            <w:r>
              <w:rPr/>
              <w:t>Hafta içi 22:00–06:00 veya hafta sonu; en az 48 saat önceden duyuru</w:t>
            </w:r>
          </w:p>
        </w:tc>
      </w:tr>
      <w:tr>
        <w:tc>
          <w:tcPr>
            <w:tcW w:type="dxa" w:w="3332"/>
          </w:tcPr>
          <w:p>
            <w:pPr>
              <w:spacing w:after="0" w:before="0"/>
            </w:pPr>
            <w:r>
              <w:rPr/>
              <w:t>Kurtarma noktası hedefi (RPO)</w:t>
            </w:r>
          </w:p>
        </w:tc>
        <w:tc>
          <w:tcPr>
            <w:tcW w:type="dxa" w:w="6894"/>
          </w:tcPr>
          <w:p>
            <w:pPr>
              <w:spacing w:after="0" w:before="0"/>
            </w:pPr>
            <w:r>
              <w:rPr/>
              <w:t>24 saat</w:t>
            </w:r>
          </w:p>
        </w:tc>
      </w:tr>
      <w:tr>
        <w:tc>
          <w:tcPr>
            <w:tcW w:type="dxa" w:w="3332"/>
          </w:tcPr>
          <w:p>
            <w:pPr>
              <w:spacing w:after="0" w:before="0"/>
            </w:pPr>
            <w:r>
              <w:rPr/>
              <w:t>Kurtarma süresi hedefi (RTO)</w:t>
            </w:r>
          </w:p>
        </w:tc>
        <w:tc>
          <w:tcPr>
            <w:tcW w:type="dxa" w:w="6894"/>
          </w:tcPr>
          <w:p>
            <w:pPr>
              <w:spacing w:after="0" w:before="0"/>
            </w:pPr>
            <w:r>
              <w:rPr/>
              <w:t>8 iş saati</w:t>
            </w:r>
          </w:p>
        </w:tc>
      </w:tr>
    </w:tbl>
    <w:p/>
    <w:p>
      <w:pPr>
        <w:pStyle w:val="Heading3"/>
      </w:pPr>
      <w:r>
        <w:rPr/>
        <w:t>4. Hizmet kredisi</w:t>
      </w:r>
    </w:p>
    <w:tbl>
      <w:tblPr>
        <w:tblStyle w:val="TableGrid"/>
        <w:tblW w:type="auto" w:w="0"/>
        <w:jc w:val="center"/>
        <w:tblLayout w:type="fixed"/>
        <w:tblLook w:firstColumn="1" w:firstRow="1" w:lastColumn="0" w:lastRow="0" w:noHBand="0" w:noVBand="1" w:val="04A0"/>
      </w:tblPr>
      <w:tblGrid>
        <w:gridCol w:w="2982"/>
        <w:gridCol w:w="7243"/>
      </w:tblGrid>
      <w:tr>
        <w:tc>
          <w:tcPr>
            <w:tcW w:type="dxa" w:w="2982"/>
            <w:shd w:val="clear" w:color="auto" w:fill="E6F2F3"/>
          </w:tcPr>
          <w:p>
            <w:pPr>
              <w:spacing w:after="0" w:before="0"/>
            </w:pPr>
            <w:r>
              <w:rPr>
                <w:b/>
              </w:rPr>
              <w:t>Aylık erişilebilirlik</w:t>
            </w:r>
          </w:p>
        </w:tc>
        <w:tc>
          <w:tcPr>
            <w:tcW w:type="dxa" w:w="7243"/>
            <w:shd w:val="clear" w:color="auto" w:fill="E6F2F3"/>
          </w:tcPr>
          <w:p>
            <w:pPr>
              <w:spacing w:after="0" w:before="0"/>
            </w:pPr>
            <w:r>
              <w:rPr>
                <w:b/>
              </w:rPr>
              <w:t>Kredi (ilgili ayın Sunucu ve Barındırma bedelinden)</w:t>
            </w:r>
          </w:p>
        </w:tc>
      </w:tr>
      <w:tr>
        <w:tc>
          <w:tcPr>
            <w:tcW w:type="dxa" w:w="2982"/>
          </w:tcPr>
          <w:p>
            <w:pPr>
              <w:spacing w:after="0" w:before="0"/>
            </w:pPr>
            <w:r>
              <w:rPr/>
              <w:t>%99,5'in altı – %99,0</w:t>
            </w:r>
          </w:p>
        </w:tc>
        <w:tc>
          <w:tcPr>
            <w:tcW w:type="dxa" w:w="7243"/>
          </w:tcPr>
          <w:p>
            <w:pPr>
              <w:spacing w:after="0" w:before="0"/>
            </w:pPr>
            <w:r>
              <w:rPr/>
              <w:t>%5</w:t>
            </w:r>
          </w:p>
        </w:tc>
      </w:tr>
      <w:tr>
        <w:tc>
          <w:tcPr>
            <w:tcW w:type="dxa" w:w="2982"/>
          </w:tcPr>
          <w:p>
            <w:pPr>
              <w:spacing w:after="0" w:before="0"/>
            </w:pPr>
            <w:r>
              <w:rPr/>
              <w:t>%99,0'ın altı – %97,0</w:t>
            </w:r>
          </w:p>
        </w:tc>
        <w:tc>
          <w:tcPr>
            <w:tcW w:type="dxa" w:w="7243"/>
          </w:tcPr>
          <w:p>
            <w:pPr>
              <w:spacing w:after="0" w:before="0"/>
            </w:pPr>
            <w:r>
              <w:rPr/>
              <w:t>%10</w:t>
            </w:r>
          </w:p>
        </w:tc>
      </w:tr>
      <w:tr>
        <w:tc>
          <w:tcPr>
            <w:tcW w:type="dxa" w:w="2982"/>
          </w:tcPr>
          <w:p>
            <w:pPr>
              <w:spacing w:after="0" w:before="0"/>
            </w:pPr>
            <w:r>
              <w:rPr/>
              <w:t>%97,0'ın altı</w:t>
            </w:r>
          </w:p>
        </w:tc>
        <w:tc>
          <w:tcPr>
            <w:tcW w:type="dxa" w:w="7243"/>
          </w:tcPr>
          <w:p>
            <w:pPr>
              <w:spacing w:after="0" w:before="0"/>
            </w:pPr>
            <w:r>
              <w:rPr/>
              <w:t>%25</w:t>
            </w:r>
          </w:p>
        </w:tc>
      </w:tr>
    </w:tbl>
    <w:p/>
    <w:p>
      <w:r>
        <w:rPr/>
        <w:t>Kredi, ay sonundan itibaren 30 gün içinde Yazılı talep edilir ve sonraki faturadan düşülür; nakden ödenmez. Hizmet kredisi, erişilebilirlik hedefinin karşılanmamasının yegâne sonucudur; Madde 18.3 saklıdır. Müşteri ortamlarında erişilebilirlik hedefi ve hizmet kredisi uygulanmaz.</w:t>
      </w:r>
    </w:p>
    <w:p>
      <w:pPr>
        <w:pStyle w:val="Heading3"/>
      </w:pPr>
      <w:r>
        <w:rPr/>
        <w:t>5. Kapsam dışı</w:t>
      </w:r>
    </w:p>
    <w:p>
      <w:r>
        <w:rPr/>
        <w:t>Müşteri'nin veya üçüncü kişilerin sebep olduğu kesintiler, Müşteri'nin internet bağlantısı, mücbir sebepler, Müşteri talebiyle yapılan bakım, askıya alma hâlleri ve Üçüncü Taraf Ürün ve Hizmetleri'nin (yapay zekâ sağlayıcıları, e-Fatura entegratörü, SMS, e-posta) kesintileri.</w:t>
      </w:r>
    </w:p>
    <w:p>
      <w:pPr>
        <w:pStyle w:val="Heading2"/>
      </w:pPr>
      <w:r>
        <w:rPr/>
        <w:t>EK-4 — KİŞİSEL VERİLERİN İŞLENMESİNE İLİŞKİN EK (KVKK / GDPR)</w:t>
      </w:r>
    </w:p>
    <w:p>
      <w:pPr>
        <w:pStyle w:val="Heading3"/>
      </w:pPr>
      <w:r>
        <w:rPr/>
        <w:t>1. Roller ve kapsam</w:t>
      </w:r>
    </w:p>
    <w:p>
      <w:r>
        <w:rPr/>
        <w:t xml:space="preserve">PORTWARE Bulut'ta ve PORTWARE'in destek, kurulum veya veri aktarımı için Müşteri ortamına eriştiği durumlarda Müşteri </w:t>
      </w:r>
      <w:r>
        <w:rPr>
          <w:b/>
        </w:rPr>
        <w:t>veri sorumlusu</w:t>
      </w:r>
      <w:r>
        <w:rPr/>
        <w:t xml:space="preserve">, PORTWARE </w:t>
      </w:r>
      <w:r>
        <w:rPr>
          <w:b/>
        </w:rPr>
        <w:t>veri işleyen</w:t>
      </w:r>
      <w:r>
        <w:rPr/>
        <w:t>dir (KVKK m. 3 ve 12; GDPR m. 4 ve 28). PORTWARE kişisel verileri yalnız Müşteri'nin belgelenmiş talimatı ile ve bu Sözleşme'deki hizmetleri sunmak amacıyla işler; talimatın mevzuata aykırı olduğunu düşünürse Müşteri'yi bilgilendirir.</w:t>
      </w:r>
    </w:p>
    <w:p>
      <w:pPr>
        <w:pStyle w:val="Heading3"/>
      </w:pPr>
      <w:r>
        <w:rPr/>
        <w:t>2. İşlenen veriler</w:t>
      </w:r>
    </w:p>
    <w:tbl>
      <w:tblPr>
        <w:tblStyle w:val="TableGrid"/>
        <w:tblW w:type="auto" w:w="0"/>
        <w:jc w:val="center"/>
        <w:tblLayout w:type="fixed"/>
        <w:tblLook w:firstColumn="1" w:firstRow="1" w:lastColumn="0" w:lastRow="0" w:noHBand="0" w:noVBand="1" w:val="04A0"/>
      </w:tblPr>
      <w:tblGrid>
        <w:gridCol w:w="2743"/>
        <w:gridCol w:w="7482"/>
      </w:tblGrid>
      <w:tr>
        <w:tc>
          <w:tcPr>
            <w:tcW w:type="dxa" w:w="2743"/>
            <w:shd w:val="clear" w:color="auto" w:fill="E6F2F3"/>
          </w:tcPr>
          <w:p>
            <w:pPr>
              <w:spacing w:after="0" w:before="0"/>
            </w:pPr>
            <w:r>
              <w:rPr>
                <w:b/>
              </w:rPr>
              <w:t>İlgili kişiler</w:t>
            </w:r>
          </w:p>
        </w:tc>
        <w:tc>
          <w:tcPr>
            <w:tcW w:type="dxa" w:w="7482"/>
          </w:tcPr>
          <w:p>
            <w:pPr>
              <w:spacing w:after="0" w:before="0"/>
            </w:pPr>
            <w:r>
              <w:rPr/>
              <w:t>Müşteri'nin çalışanları, çalışan adayları, müşterileri, tedarikçileri, bayileri ve iş ortakları</w:t>
            </w:r>
          </w:p>
        </w:tc>
      </w:tr>
      <w:tr>
        <w:tc>
          <w:tcPr>
            <w:tcW w:type="dxa" w:w="2743"/>
            <w:shd w:val="clear" w:color="auto" w:fill="E6F2F3"/>
          </w:tcPr>
          <w:p>
            <w:pPr>
              <w:spacing w:after="0" w:before="0"/>
            </w:pPr>
            <w:r>
              <w:rPr>
                <w:b/>
              </w:rPr>
              <w:t>Veri kategorileri</w:t>
            </w:r>
          </w:p>
        </w:tc>
        <w:tc>
          <w:tcPr>
            <w:tcW w:type="dxa" w:w="7482"/>
          </w:tcPr>
          <w:p>
            <w:pPr>
              <w:spacing w:after="0" w:before="0"/>
            </w:pPr>
            <w:r>
              <w:rPr/>
              <w:t>Kimlik, iletişim, müşteri işlem, finans, çalışan (insan kaynakları, bordro, izin), mesleki deneyim, işlem güvenliği (oturum ve IP kayıtları), Cowork kullanılırsa ses ve metin içerikleri</w:t>
            </w:r>
          </w:p>
        </w:tc>
      </w:tr>
      <w:tr>
        <w:tc>
          <w:tcPr>
            <w:tcW w:type="dxa" w:w="2743"/>
            <w:shd w:val="clear" w:color="auto" w:fill="E6F2F3"/>
          </w:tcPr>
          <w:p>
            <w:pPr>
              <w:spacing w:after="0" w:before="0"/>
            </w:pPr>
            <w:r>
              <w:rPr>
                <w:b/>
              </w:rPr>
              <w:t>Özel nitelikli veriler</w:t>
            </w:r>
          </w:p>
        </w:tc>
        <w:tc>
          <w:tcPr>
            <w:tcW w:type="dxa" w:w="7482"/>
          </w:tcPr>
          <w:p>
            <w:pPr>
              <w:spacing w:after="0" w:before="0"/>
            </w:pPr>
            <w:r>
              <w:rPr/>
              <w:t>Yalnız Müşteri girerse ve ek tedbirlerle (ör. sağlık raporu bilgileri)</w:t>
            </w:r>
          </w:p>
        </w:tc>
      </w:tr>
      <w:tr>
        <w:tc>
          <w:tcPr>
            <w:tcW w:type="dxa" w:w="2743"/>
            <w:shd w:val="clear" w:color="auto" w:fill="E6F2F3"/>
          </w:tcPr>
          <w:p>
            <w:pPr>
              <w:spacing w:after="0" w:before="0"/>
            </w:pPr>
            <w:r>
              <w:rPr>
                <w:b/>
              </w:rPr>
              <w:t>Süre</w:t>
            </w:r>
          </w:p>
        </w:tc>
        <w:tc>
          <w:tcPr>
            <w:tcW w:type="dxa" w:w="7482"/>
          </w:tcPr>
          <w:p>
            <w:pPr>
              <w:spacing w:after="0" w:before="0"/>
            </w:pPr>
            <w:r>
              <w:rPr/>
              <w:t>Hizmet süresince; sonrasında Ana Sözleşme Madde 22.2</w:t>
            </w:r>
          </w:p>
        </w:tc>
      </w:tr>
    </w:tbl>
    <w:p/>
    <w:p>
      <w:pPr>
        <w:pStyle w:val="Heading3"/>
      </w:pPr>
      <w:r>
        <w:rPr/>
        <w:t>3. PORTWARE'in yükümlülükleri</w:t>
      </w:r>
    </w:p>
    <w:p>
      <w:pPr>
        <w:pStyle w:val="ListNumber"/>
      </w:pPr>
      <w:r>
        <w:rPr/>
        <w:t>Verileri talimat dışında işlememek ve kendi amaçları için kullanmamak.</w:t>
      </w:r>
    </w:p>
    <w:p>
      <w:pPr>
        <w:pStyle w:val="ListNumber"/>
      </w:pPr>
      <w:r>
        <w:rPr/>
        <w:t>Verilere erişen çalışanlarını ve alt işleyenlerini gizlilik yükümlülüğüne tabi tutmak.</w:t>
      </w:r>
    </w:p>
    <w:p>
      <w:pPr>
        <w:pStyle w:val="ListNumber"/>
      </w:pPr>
      <w:r>
        <w:rPr/>
        <w:t>KVKK m. 12 ve GDPR m. 32 kapsamında uygun teknik ve idari tedbirleri almak (şifreli iletim, yetkilendirme, en az yetki ilkesi, erişim kayıtları, yedekleme, anahtarların istemciye verilmemesi).</w:t>
      </w:r>
    </w:p>
    <w:p>
      <w:pPr>
        <w:pStyle w:val="ListNumber"/>
      </w:pPr>
      <w:r>
        <w:rPr/>
        <w:t>Bir kişisel veri ihlalini öğrenmesinden itibaren gecikmeksizin ve en geç 48 saat içinde Müşteri'ye bildirmek; Müşteri'nin Kurul'a ve ilgili kişilere bildirim yükümlülüğünü yerine getirebilmesi için gerekli bilgileri sağlamak.</w:t>
      </w:r>
    </w:p>
    <w:p>
      <w:pPr>
        <w:pStyle w:val="ListNumber"/>
      </w:pPr>
      <w:r>
        <w:rPr/>
        <w:t>İlgili kişi başvurularında (KVKK m. 11; GDPR m. 15–22) Müşteri'ye makul yardımı sağlamak.</w:t>
      </w:r>
    </w:p>
    <w:p>
      <w:pPr>
        <w:pStyle w:val="ListNumber"/>
      </w:pPr>
      <w:r>
        <w:rPr/>
        <w:t>Hizmet sonunda verileri Ana Sözleşme Madde 22.2'ye göre iade etmek ve silmek.</w:t>
      </w:r>
    </w:p>
    <w:p>
      <w:pPr>
        <w:pStyle w:val="ListNumber"/>
      </w:pPr>
      <w:r>
        <w:rPr/>
        <w:t>Müşteri'nin, en az 30 gün önceden bildirilen, yılda en fazla bir kez ve iş saatlerinde yapılacak denetim taleplerine yardımcı olmak; denetim masrafları Müşteri'ye aittir.</w:t>
      </w:r>
    </w:p>
    <w:p>
      <w:pPr>
        <w:pStyle w:val="Heading3"/>
      </w:pPr>
      <w:r>
        <w:rPr/>
        <w:t>4. Alt işleyenler</w:t>
      </w:r>
    </w:p>
    <w:p>
      <w:r>
        <w:rPr/>
        <w:t>Müşteri, aşağıdaki alt işleyen kategorilerine genel onay verir. PORTWARE yeni bir alt işleyeni en az 30 gün önceden bildirir; Müşteri haklı gerekçeyle itiraz edebilir ve itiraz çözülemezse ilgili hizmeti cezasız feshedebilir.</w:t>
      </w:r>
    </w:p>
    <w:tbl>
      <w:tblPr>
        <w:tblStyle w:val="TableGrid"/>
        <w:tblW w:type="auto" w:w="0"/>
        <w:jc w:val="center"/>
        <w:tblLayout w:type="fixed"/>
        <w:tblLook w:firstColumn="1" w:firstRow="1" w:lastColumn="0" w:lastRow="0" w:noHBand="0" w:noVBand="1" w:val="04A0"/>
      </w:tblPr>
      <w:tblGrid>
        <w:gridCol w:w="4474"/>
        <w:gridCol w:w="3355"/>
        <w:gridCol w:w="2397"/>
      </w:tblGrid>
      <w:tr>
        <w:tc>
          <w:tcPr>
            <w:tcW w:type="dxa" w:w="4474"/>
            <w:shd w:val="clear" w:color="auto" w:fill="E6F2F3"/>
          </w:tcPr>
          <w:p>
            <w:pPr>
              <w:spacing w:after="0" w:before="0"/>
            </w:pPr>
            <w:r>
              <w:rPr>
                <w:b/>
              </w:rPr>
              <w:t>Alt işleyen</w:t>
            </w:r>
          </w:p>
        </w:tc>
        <w:tc>
          <w:tcPr>
            <w:tcW w:type="dxa" w:w="3355"/>
            <w:shd w:val="clear" w:color="auto" w:fill="E6F2F3"/>
          </w:tcPr>
          <w:p>
            <w:pPr>
              <w:spacing w:after="0" w:before="0"/>
            </w:pPr>
            <w:r>
              <w:rPr>
                <w:b/>
              </w:rPr>
              <w:t>Hizmet</w:t>
            </w:r>
          </w:p>
        </w:tc>
        <w:tc>
          <w:tcPr>
            <w:tcW w:type="dxa" w:w="2397"/>
            <w:shd w:val="clear" w:color="auto" w:fill="E6F2F3"/>
          </w:tcPr>
          <w:p>
            <w:pPr>
              <w:spacing w:after="0" w:before="0"/>
            </w:pPr>
            <w:r>
              <w:rPr>
                <w:b/>
              </w:rPr>
              <w:t>Konum</w:t>
            </w:r>
          </w:p>
        </w:tc>
      </w:tr>
      <w:tr>
        <w:tc>
          <w:tcPr>
            <w:tcW w:type="dxa" w:w="4474"/>
          </w:tcPr>
          <w:p>
            <w:pPr>
              <w:spacing w:after="0" w:before="0"/>
            </w:pPr>
            <w:r>
              <w:rPr/>
              <w:t>Barındırma sağlayıcısı (varsayılan: Hetzner Online GmbH)</w:t>
            </w:r>
          </w:p>
        </w:tc>
        <w:tc>
          <w:tcPr>
            <w:tcW w:type="dxa" w:w="3355"/>
          </w:tcPr>
          <w:p>
            <w:pPr>
              <w:spacing w:after="0" w:before="0"/>
            </w:pPr>
            <w:r>
              <w:rPr/>
              <w:t>PORTWARE Bulut sunucuları ve yedekleri</w:t>
            </w:r>
          </w:p>
        </w:tc>
        <w:tc>
          <w:tcPr>
            <w:tcW w:type="dxa" w:w="2397"/>
          </w:tcPr>
          <w:p>
            <w:pPr>
              <w:spacing w:after="0" w:before="0"/>
            </w:pPr>
            <w:r>
              <w:rPr/>
              <w:t>Almanya / Finlandiya (AB)</w:t>
            </w:r>
          </w:p>
        </w:tc>
      </w:tr>
      <w:tr>
        <w:tc>
          <w:tcPr>
            <w:tcW w:type="dxa" w:w="4474"/>
          </w:tcPr>
          <w:p>
            <w:pPr>
              <w:spacing w:after="0" w:before="0"/>
            </w:pPr>
            <w:r>
              <w:rPr/>
              <w:t>E-posta ve SMS sağlayıcıları</w:t>
            </w:r>
          </w:p>
        </w:tc>
        <w:tc>
          <w:tcPr>
            <w:tcW w:type="dxa" w:w="3355"/>
          </w:tcPr>
          <w:p>
            <w:pPr>
              <w:spacing w:after="0" w:before="0"/>
            </w:pPr>
            <w:r>
              <w:rPr/>
              <w:t>Sistem bildirimleri ve doğrulama mesajları</w:t>
            </w:r>
          </w:p>
        </w:tc>
        <w:tc>
          <w:tcPr>
            <w:tcW w:type="dxa" w:w="2397"/>
          </w:tcPr>
          <w:p>
            <w:pPr>
              <w:spacing w:after="0" w:before="0"/>
            </w:pPr>
            <w:r>
              <w:rPr/>
              <w:t>AB / Türkiye / ABD</w:t>
            </w:r>
          </w:p>
        </w:tc>
      </w:tr>
      <w:tr>
        <w:tc>
          <w:tcPr>
            <w:tcW w:type="dxa" w:w="4474"/>
          </w:tcPr>
          <w:p>
            <w:pPr>
              <w:spacing w:after="0" w:before="0"/>
            </w:pPr>
            <w:r>
              <w:rPr/>
              <w:t>Yapay zekâ sağlayıcıları (yalnız Müşteri'nin seçtiği)</w:t>
            </w:r>
          </w:p>
        </w:tc>
        <w:tc>
          <w:tcPr>
            <w:tcW w:type="dxa" w:w="3355"/>
          </w:tcPr>
          <w:p>
            <w:pPr>
              <w:spacing w:after="0" w:before="0"/>
            </w:pPr>
            <w:r>
              <w:rPr/>
              <w:t>Cowork</w:t>
            </w:r>
          </w:p>
        </w:tc>
        <w:tc>
          <w:tcPr>
            <w:tcW w:type="dxa" w:w="2397"/>
          </w:tcPr>
          <w:p>
            <w:pPr>
              <w:spacing w:after="0" w:before="0"/>
            </w:pPr>
            <w:r>
              <w:rPr/>
              <w:t>Sağlayıcıya göre (ABD, AB vb.)</w:t>
            </w:r>
          </w:p>
        </w:tc>
      </w:tr>
    </w:tbl>
    <w:p/>
    <w:p>
      <w:r>
        <w:rPr/>
        <w:t>Cowork, yalnız Müşteri'nin yönetici ayarlarında etkinleştirdiği sağlayıcıya ve yalnız ilgili istek için gerekli içeriği gönderir. Olası sağlayıcılar arasında OpenAI, Anthropic, Google, Mistral, Groq, ElevenLabs ve Deepgram bulunur. Çin merkezli sağlayıcılar (ör. DeepSeek, Z.ai) yalnız Müşteri'nin yurt dışı aktarım değerlendirmesini yapmasından sonra etkinleştirilmelidir. Müşteri sağlayıcıyla kendi API anahtarıyla doğrudan sözleşme kurarsa sağlayıcı Müşteri'nin işleyenidir.</w:t>
      </w:r>
    </w:p>
    <w:p>
      <w:pPr>
        <w:pStyle w:val="Heading3"/>
      </w:pPr>
      <w:r>
        <w:rPr/>
        <w:t>5. Yurt dışına aktarım</w:t>
      </w:r>
    </w:p>
    <w:p>
      <w:r>
        <w:rPr/>
        <w:t>Kişisel verilerin yurt dışına aktarımı KVKK m. 9 (yeterlilik kararı, uygun güvenceler veya arızi hâllerde istisnalar) ve GDPR m. 44 vd. çerçevesinde yapılır. Gerektiğinde Taraflar, Kişisel Verileri Koruma Kurulu'nun ilan ettiği standart sözleşmeleri ve AB Standart Sözleşme Maddeleri'ni imzalar; standart sözleşmenin imzasından itibaren 5 iş günü içinde Kurum'a bildirim, yükümlü Taraf'ça yapılır.</w:t>
      </w:r>
    </w:p>
    <w:p>
      <w:pPr>
        <w:pStyle w:val="Heading3"/>
      </w:pPr>
      <w:r>
        <w:rPr/>
        <w:t>6. Müşteri'nin yükümlülükleri</w:t>
      </w:r>
    </w:p>
    <w:p>
      <w:r>
        <w:rPr/>
        <w:t>Aydınlatma yükümlülüğünü yerine getirmek, gerektiğinde açık rıza almak, VERBİS kaydı yükümlülüğünü yerine getirmek, Yazılım'a hukuka uygun elde edilmiş veri girmek ve Yazılım'daki kişisel veri ve erişim ayarlarını kendi politikalarına göre yapılandırmak Müşteri'nin sorumluluğundadır.</w:t>
      </w:r>
    </w:p>
    <w:p>
      <w:pPr>
        <w:pStyle w:val="Heading2"/>
      </w:pPr>
      <w:r>
        <w:rPr/>
        <w:t>EK-5 — PROFESYONEL HİZMETLER VE ÖZEL GELİŞTİRME EKİ</w:t>
      </w:r>
    </w:p>
    <w:p>
      <w:pPr>
        <w:pStyle w:val="Heading3"/>
      </w:pPr>
      <w:r>
        <w:rPr/>
        <w:t>1. Kapsam ve Proje Tanımı</w:t>
      </w:r>
    </w:p>
    <w:p>
      <w:r>
        <w:rPr/>
        <w:t>Her özel geliştirme veya kapsamlı devreye alma için Taraflar bir Proje Tanımı hazırlar: iş ihtiyacı, kapsam (dahil / hariç), teslimler, ölçülebilir kabul kriterleri, takvim, Müşteri sorumlulukları, bedel ve ödeme planı. Proje Tanımı, Taraflar'ın Yazılı onayıyla bu Sözleşme'nin parçası olur.</w:t>
      </w:r>
    </w:p>
    <w:p>
      <w:pPr>
        <w:pStyle w:val="Heading3"/>
      </w:pPr>
      <w:r>
        <w:rPr/>
        <w:t>2. Fiyatlandırma</w:t>
      </w:r>
    </w:p>
    <w:p>
      <w:r>
        <w:rPr/>
        <w:t>Sabit fiyat (Proje Tanımı'ndaki kapsam için) veya zaman ve malzeme (saatlik ücret, tahmini süre ve varsa tavan bedel). Aksi kararlaştırılmadıkça sabit fiyatlı işlerde ödeme planı: %40 başlangıçta, %40 test teslimiyle, %20 kabulde.</w:t>
      </w:r>
    </w:p>
    <w:p>
      <w:pPr>
        <w:pStyle w:val="Heading3"/>
      </w:pPr>
      <w:r>
        <w:rPr/>
        <w:t>3. Kabul</w:t>
      </w:r>
    </w:p>
    <w:p>
      <w:r>
        <w:rPr/>
        <w:t>PORTWARE teslimi bir test ortamında yapar. Müşteri, kabul kriterlerine göre 10 İş Günü içinde kabul eder veya Hata'ları Yazılı bildirir. Hata'lar giderildikten sonra yeniden test süresi 5 İş Günü'dür. Süre içinde bildirim yapılmazsa veya teslim canlı kullanıma alınırsa kabul edilmiş sayılır. Kabul kriterlerine dayanmayan yeni istekler Değişiklik Talebi'dir.</w:t>
      </w:r>
    </w:p>
    <w:p>
      <w:pPr>
        <w:pStyle w:val="Heading3"/>
      </w:pPr>
      <w:r>
        <w:rPr/>
        <w:t>4. Değişiklik talebi</w:t>
      </w:r>
    </w:p>
    <w:p>
      <w:r>
        <w:rPr/>
        <w:t>Kapsam değişikliği Yazılı Değişiklik Talebi ile yapılır. PORTWARE 5 İş Günü içinde süre ve bedel etkisini bildirir; değişiklik iki Taraf'ın Yazılı onayıyla yürürlüğe girer.</w:t>
      </w:r>
    </w:p>
    <w:p>
      <w:pPr>
        <w:pStyle w:val="Heading3"/>
      </w:pPr>
      <w:r>
        <w:rPr/>
        <w:t>5. Garanti ve bakım</w:t>
      </w:r>
    </w:p>
    <w:p>
      <w:r>
        <w:rPr/>
        <w:t>Kabulden itibaren 90 gün boyunca Proje Tanımı'na aykırı Hata'lar ücretsiz giderilir. Bakım ve Güncelleme Hizmeti aktifse özel modüllerin yeni Sürüm'lere taşınması, Proje Tanımı'nda kararlaştırıldığı şekilde ücretsiz veya ayrı bedelle yapılır.</w:t>
      </w:r>
    </w:p>
    <w:p>
      <w:pPr>
        <w:pStyle w:val="Heading3"/>
      </w:pPr>
      <w:r>
        <w:rPr/>
        <w:t>6. Fikri mülkiyet</w:t>
      </w:r>
    </w:p>
    <w:p>
      <w:r>
        <w:rPr/>
        <w:t>Aksi Ek-7'de kararlaştırılmadıkça özel geliştirmeler üzerindeki fikri haklar PORTWARE'de kalır ve Müşteri'ye bu Sözleşme'deki kalıcı kullanım hakkı koşullarıyla bedelsiz lisanslanır. PORTWARE, Müşteri'ye ait ticari sırları, verileri ve Müşteri'yi tanıtan unsurları çıkarmak kaydıyla geliştirmeyi genel ürününde kullanabilir. Müşteri'ye özgü kodun devri Ek-7'de ayrıca kararlaştırılabilir; bu hâlde dahi PORTWARE'in önceden var olan bileşenleri ve genel araçları PORTWARE'de kalır.</w:t>
      </w:r>
    </w:p>
    <w:p>
      <w:pPr>
        <w:pStyle w:val="Heading2"/>
      </w:pPr>
      <w:r>
        <w:rPr/>
        <w:t>EK-6 — AÇIK KAYNAK VE ÜÇÜNCÜ TARAF BİLEŞENLER EKİ</w:t>
      </w:r>
    </w:p>
    <w:p>
      <w:r>
        <w:rPr/>
        <w:t>Yazılım, Odoo S.A. tarafından geliştirilen ve GNU LGPL-3 lisansıyla dağıtılan Odoo 19 Community çekirdeği üzerine kuruludur ve aşağıdaki lisans türlerinde bileşenler içerir. Her bileşenin lisansı, Yazılım ile teslim edilen kaynak dosyalarında ve modül tanımlarında yer alır; tam liste Müşteri'nin talebi üzerine Yazılı olarak verilir.</w:t>
      </w:r>
    </w:p>
    <w:tbl>
      <w:tblPr>
        <w:tblStyle w:val="TableGrid"/>
        <w:tblW w:type="auto" w:w="0"/>
        <w:jc w:val="center"/>
        <w:tblLayout w:type="fixed"/>
        <w:tblLook w:firstColumn="1" w:firstRow="1" w:lastColumn="0" w:lastRow="0" w:noHBand="0" w:noVBand="1" w:val="04A0"/>
      </w:tblPr>
      <w:tblGrid>
        <w:gridCol w:w="3409"/>
        <w:gridCol w:w="3409"/>
        <w:gridCol w:w="3409"/>
      </w:tblGrid>
      <w:tr>
        <w:tc>
          <w:tcPr>
            <w:tcW w:type="dxa" w:w="3409"/>
            <w:shd w:val="clear" w:color="auto" w:fill="E6F2F3"/>
          </w:tcPr>
          <w:p>
            <w:pPr>
              <w:spacing w:after="0" w:before="0"/>
            </w:pPr>
            <w:r>
              <w:rPr>
                <w:b/>
              </w:rPr>
              <w:t>Lisans türü</w:t>
            </w:r>
          </w:p>
        </w:tc>
        <w:tc>
          <w:tcPr>
            <w:tcW w:type="dxa" w:w="3409"/>
            <w:shd w:val="clear" w:color="auto" w:fill="E6F2F3"/>
          </w:tcPr>
          <w:p>
            <w:pPr>
              <w:spacing w:after="0" w:before="0"/>
            </w:pPr>
            <w:r>
              <w:rPr>
                <w:b/>
              </w:rPr>
              <w:t>Örnek bileşenler</w:t>
            </w:r>
          </w:p>
        </w:tc>
        <w:tc>
          <w:tcPr>
            <w:tcW w:type="dxa" w:w="3409"/>
            <w:shd w:val="clear" w:color="auto" w:fill="E6F2F3"/>
          </w:tcPr>
          <w:p>
            <w:pPr>
              <w:spacing w:after="0" w:before="0"/>
            </w:pPr>
            <w:r>
              <w:rPr>
                <w:b/>
              </w:rPr>
              <w:t>Müşteri bakımından sonuç</w:t>
            </w:r>
          </w:p>
        </w:tc>
      </w:tr>
      <w:tr>
        <w:tc>
          <w:tcPr>
            <w:tcW w:type="dxa" w:w="3409"/>
          </w:tcPr>
          <w:p>
            <w:pPr>
              <w:spacing w:after="0" w:before="0"/>
            </w:pPr>
            <w:r>
              <w:rPr/>
              <w:t>LGPL-3</w:t>
            </w:r>
          </w:p>
        </w:tc>
        <w:tc>
          <w:tcPr>
            <w:tcW w:type="dxa" w:w="3409"/>
          </w:tcPr>
          <w:p>
            <w:pPr>
              <w:spacing w:after="0" w:before="0"/>
            </w:pPr>
            <w:r>
              <w:rPr/>
              <w:t>Odoo Community çekirdeği ve uygulamaları, SODOO modüllerinin bir bölümü</w:t>
            </w:r>
          </w:p>
        </w:tc>
        <w:tc>
          <w:tcPr>
            <w:tcW w:type="dxa" w:w="3409"/>
          </w:tcPr>
          <w:p>
            <w:pPr>
              <w:spacing w:after="0" w:before="0"/>
            </w:pPr>
            <w:r>
              <w:rPr/>
              <w:t>Lisansın tanıdığı haklar saklıdır</w:t>
            </w:r>
          </w:p>
        </w:tc>
      </w:tr>
      <w:tr>
        <w:tc>
          <w:tcPr>
            <w:tcW w:type="dxa" w:w="3409"/>
          </w:tcPr>
          <w:p>
            <w:pPr>
              <w:spacing w:after="0" w:before="0"/>
            </w:pPr>
            <w:r>
              <w:rPr/>
              <w:t>AGPL-3</w:t>
            </w:r>
          </w:p>
        </w:tc>
        <w:tc>
          <w:tcPr>
            <w:tcW w:type="dxa" w:w="3409"/>
          </w:tcPr>
          <w:p>
            <w:pPr>
              <w:spacing w:after="0" w:before="0"/>
            </w:pPr>
            <w:r>
              <w:rPr/>
              <w:t>Bazı topluluk (OCA ve benzeri) modülleri; ONLYOFFICE Docs</w:t>
            </w:r>
          </w:p>
        </w:tc>
        <w:tc>
          <w:tcPr>
            <w:tcW w:type="dxa" w:w="3409"/>
          </w:tcPr>
          <w:p>
            <w:pPr>
              <w:spacing w:after="0" w:before="0"/>
            </w:pPr>
            <w:r>
              <w:rPr/>
              <w:t>Ağ üzerinden kullanımda kaynak koda erişim hakkı; talep üzerine sağlanır</w:t>
            </w:r>
          </w:p>
        </w:tc>
      </w:tr>
      <w:tr>
        <w:tc>
          <w:tcPr>
            <w:tcW w:type="dxa" w:w="3409"/>
          </w:tcPr>
          <w:p>
            <w:pPr>
              <w:spacing w:after="0" w:before="0"/>
            </w:pPr>
            <w:r>
              <w:rPr/>
              <w:t>MIT, BSD, Apache-2.0 ve benzeri</w:t>
            </w:r>
          </w:p>
        </w:tc>
        <w:tc>
          <w:tcPr>
            <w:tcW w:type="dxa" w:w="3409"/>
          </w:tcPr>
          <w:p>
            <w:pPr>
              <w:spacing w:after="0" w:before="0"/>
            </w:pPr>
            <w:r>
              <w:rPr/>
              <w:t>JavaScript ve Python kütüphaneleri</w:t>
            </w:r>
          </w:p>
        </w:tc>
        <w:tc>
          <w:tcPr>
            <w:tcW w:type="dxa" w:w="3409"/>
          </w:tcPr>
          <w:p>
            <w:pPr>
              <w:spacing w:after="0" w:before="0"/>
            </w:pPr>
            <w:r>
              <w:rPr/>
              <w:t>Lisans ve telif bildirimleri korunur</w:t>
            </w:r>
          </w:p>
        </w:tc>
      </w:tr>
      <w:tr>
        <w:tc>
          <w:tcPr>
            <w:tcW w:type="dxa" w:w="3409"/>
          </w:tcPr>
          <w:p>
            <w:pPr>
              <w:spacing w:after="0" w:before="0"/>
            </w:pPr>
            <w:r>
              <w:rPr/>
              <w:t>Üçüncü kişilere ait ticari lisanslar (ör. OPL-1, "Other proprietary")</w:t>
            </w:r>
          </w:p>
        </w:tc>
        <w:tc>
          <w:tcPr>
            <w:tcW w:type="dxa" w:w="3409"/>
          </w:tcPr>
          <w:p>
            <w:pPr>
              <w:spacing w:after="0" w:before="0"/>
            </w:pPr>
            <w:r>
              <w:rPr/>
              <w:t>Bazı yerelleştirme, e-Fatura entegrasyonu ve rapor şablonu modülleri</w:t>
            </w:r>
          </w:p>
        </w:tc>
        <w:tc>
          <w:tcPr>
            <w:tcW w:type="dxa" w:w="3409"/>
          </w:tcPr>
          <w:p>
            <w:pPr>
              <w:spacing w:after="0" w:before="0"/>
            </w:pPr>
            <w:r>
              <w:rPr/>
              <w:t>Yalnız hak sahibinin izin verdiği ölçüde ve Sipariş Formu'nda yer aldığında teslim edilir</w:t>
            </w:r>
          </w:p>
        </w:tc>
      </w:tr>
    </w:tbl>
    <w:p/>
    <w:p>
      <w:r>
        <w:rPr/>
        <w:t>Açık Kaynak Bileşenler ile üçüncü kişilere ait ticari bileşenlere ilişkin garanti ve sorumluluk, ilgili lisanslar ve Ana Sözleşme Madde 13.4 çerçevesinde belirlenir.</w:t>
      </w:r>
    </w:p>
    <w:p>
      <w:pPr>
        <w:pStyle w:val="Heading2"/>
      </w:pPr>
      <w:r>
        <w:rPr/>
        <w:t>EK-7 — ÖZEL HÜKÜMLER</w:t>
      </w:r>
    </w:p>
    <w:p>
      <w:r>
        <w:rPr>
          <w:color w:val="92400E"/>
          <w:shd w:val="clear" w:color="auto" w:fill="FEF3C7"/>
        </w:rPr>
        <w:t>[kararlaştırılmışsa özel hükümler]</w:t>
      </w:r>
    </w:p>
    <w:sectPr w:rsidR="00FC693F" w:rsidRPr="0006063C" w:rsidSect="00034616">
      <w:headerReference w:type="default" r:id="rId9"/>
      <w:footerReference w:type="default" r:id="rId10"/>
      <w:pgSz w:w="11906" w:h="16838"/>
      <w:pgMar w:top="1710" w:right="840" w:bottom="1560" w:left="8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charset w:val="00"/>
    <w:family w:val="swiss"/>
    <w:pitch w:val="variable"/>
    <w:embedRegular r:id="rId1" w:fontKey="{DF3997B1-8118-47FD-8B80-B577DA6DE166}"/>
    <w:embedBold r:id="rId2" w:fontKey="{FDD8AEB9-9A33-408C-846C-854E3BCA1091}"/>
    <w:embedItalic r:id="rId3" w:fontKey="{E6DC3828-4F5D-49F7-BA74-A2BFD9EF6050}"/>
    <w:embedBoldItalic r:id="rId4" w:fontKey="{081AD158-AEE7-4B95-A1F0-625A46099FEF}"/>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single" w:sz="6" w:space="0" w:color="CBD5E1"/>
        <w:left w:val="nil"/>
        <w:bottom w:val="nil"/>
        <w:right w:val="nil"/>
        <w:insideH w:val="nil"/>
        <w:insideV w:val="nil"/>
      </w:tblBorders>
      <w:tblLayout w:type="fixed"/>
    </w:tblPr>
    <w:tblGrid>
      <w:gridCol w:w="3718"/>
      <w:gridCol w:w="5577"/>
      <w:gridCol w:w="929"/>
    </w:tblGrid>
    <w:tr>
      <w:trPr>
        <w:trHeight w:val="840" w:hRule="atLeast"/>
      </w:trPr>
      <w:tc>
        <w:tcPr>
          <w:tcW w:type="dxa" w:w="3718"/>
          <w:vAlign w:val="center"/>
        </w:tcPr>
        <w:p>
          <w:pPr>
            <w:spacing w:before="0" w:after="0" w:line="276" w:lineRule="auto"/>
            <w:jc w:val="left"/>
          </w:pPr>
          <w:r>
            <w:drawing>
              <wp:inline xmlns:a="http://schemas.openxmlformats.org/drawingml/2006/main" xmlns:pic="http://schemas.openxmlformats.org/drawingml/2006/picture">
                <wp:extent cx="286173" cy="28575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286173" cy="285750"/>
                        </a:xfrm>
                        <a:prstGeom prst="rect"/>
                      </pic:spPr>
                    </pic:pic>
                  </a:graphicData>
                </a:graphic>
              </wp:inline>
            </w:drawing>
          </w:r>
          <w:r>
            <w:rPr>
              <w:color w:val="0F172A"/>
              <w:sz w:val="13"/>
            </w:rPr>
            <w:t xml:space="preserve"> </w:t>
          </w:r>
          <w:r>
            <w:rPr>
              <w:b/>
              <w:color w:val="0F172A"/>
              <w:sz w:val="13"/>
            </w:rPr>
            <w:t>SODOO · Üretken İş Yönetim Sistemi</w:t>
          </w:r>
        </w:p>
      </w:tc>
      <w:tc>
        <w:tcPr>
          <w:tcW w:type="dxa" w:w="5578"/>
          <w:vAlign w:val="center"/>
        </w:tcPr>
        <w:p>
          <w:pPr>
            <w:spacing w:before="0" w:after="0" w:line="276" w:lineRule="auto"/>
            <w:jc w:val="center"/>
          </w:pPr>
          <w:r>
            <w:rPr>
              <w:color w:val="64748B"/>
              <w:sz w:val="12"/>
            </w:rPr>
            <w:t>PORTWARE Yazılım ve Teknoloji Limited Şirketi · Emek Mahallesi, 41400 Çayırova, Kocaeli, Türkiye</w:t>
          </w:r>
          <w:r>
            <w:br/>
          </w:r>
          <w:r>
            <w:rPr>
              <w:color w:val="64748B"/>
              <w:sz w:val="12"/>
            </w:rPr>
            <w:t>+90 531 729 62 50 · info@portware.io · portware.io</w:t>
          </w:r>
        </w:p>
      </w:tc>
      <w:tc>
        <w:tcPr>
          <w:tcW w:type="dxa" w:w="930"/>
          <w:vAlign w:val="center"/>
        </w:tcPr>
        <w:p>
          <w:pPr>
            <w:spacing w:before="0" w:after="0" w:line="276" w:lineRule="auto"/>
            <w:jc w:val="right"/>
          </w:pPr>
          <w:r>
            <w:rPr>
              <w:color w:val="52606D"/>
              <w:sz w:val="13"/>
            </w:rPr>
            <w:fldChar w:fldCharType="begin"/>
            <w:instrText xml:space="preserve"> PAGE </w:instrText>
            <w:fldChar w:fldCharType="separate"/>
            <w:t>1</w:t>
            <w:fldChar w:fldCharType="end"/>
          </w:r>
          <w:r>
            <w:rPr>
              <w:color w:val="52606D"/>
              <w:sz w:val="13"/>
            </w:rPr>
            <w:t xml:space="preserve"> / </w:t>
          </w:r>
          <w:r>
            <w:rPr>
              <w:color w:val="52606D"/>
              <w:sz w:val="13"/>
            </w:rPr>
            <w:fldChar w:fldCharType="begin"/>
            <w:instrText xml:space="preserve"> NUMPAGES </w:instrText>
            <w:fldChar w:fldCharType="separate"/>
            <w:t>1</w:t>
            <w:fldChar w:fldCharType="end"/>
          </w:r>
        </w:p>
      </w:tc>
    </w:tr>
  </w:tbl>
  <w:p>
    <w:pPr>
      <w:pStyle w:val="Footer"/>
      <w:spacing w:before="0" w:after="0" w:line="20" w:lineRule="exact"/>
      <w:jc w:val="cen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nil"/>
        <w:left w:val="nil"/>
        <w:bottom w:val="single" w:sz="12" w:space="0" w:color="146F78"/>
        <w:right w:val="nil"/>
        <w:insideH w:val="nil"/>
        <w:insideV w:val="nil"/>
      </w:tblBorders>
      <w:tblLayout w:type="fixed"/>
    </w:tblPr>
    <w:tblGrid>
      <w:gridCol w:w="4090"/>
      <w:gridCol w:w="6135"/>
    </w:tblGrid>
    <w:tr>
      <w:trPr>
        <w:trHeight w:val="990" w:hRule="atLeast"/>
      </w:trPr>
      <w:tc>
        <w:tcPr>
          <w:tcW w:type="dxa" w:w="4090"/>
          <w:vAlign w:val="center"/>
        </w:tcPr>
        <w:p>
          <w:pPr>
            <w:spacing w:before="0" w:after="0" w:line="276" w:lineRule="auto"/>
            <w:jc w:val="left"/>
          </w:pPr>
          <w:r>
            <w:drawing>
              <wp:inline xmlns:a="http://schemas.openxmlformats.org/drawingml/2006/main" xmlns:pic="http://schemas.openxmlformats.org/drawingml/2006/picture">
                <wp:extent cx="752374" cy="28575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52374" cy="285750"/>
                        </a:xfrm>
                        <a:prstGeom prst="rect"/>
                      </pic:spPr>
                    </pic:pic>
                  </a:graphicData>
                </a:graphic>
              </wp:inline>
            </w:drawing>
          </w:r>
        </w:p>
      </w:tc>
      <w:tc>
        <w:tcPr>
          <w:tcW w:type="dxa" w:w="6135"/>
          <w:vAlign w:val="center"/>
        </w:tcPr>
        <w:p>
          <w:pPr>
            <w:spacing w:before="0" w:after="0" w:line="276" w:lineRule="auto"/>
            <w:jc w:val="right"/>
          </w:pPr>
          <w:r>
            <w:rPr>
              <w:b/>
              <w:color w:val="0F172A"/>
              <w:sz w:val="18"/>
            </w:rPr>
            <w:t>PORTWARE Yazılım ve Teknoloji Limited Şirketi</w:t>
          </w:r>
          <w:r>
            <w:br/>
          </w:r>
          <w:r>
            <w:rPr>
              <w:color w:val="0F172A"/>
              <w:sz w:val="18"/>
            </w:rPr>
            <w:t>portware.io</w:t>
          </w:r>
        </w:p>
      </w:tc>
    </w:tr>
  </w:tbl>
  <w:p>
    <w:pPr>
      <w:pStyle w:val="Header"/>
      <w:tabs>
        <w:tab w:pos="4819" w:val="center"/>
        <w:tab w:pos="9638" w:val="right"/>
      </w:tabs>
      <w:spacing w:before="0" w:after="0" w:line="2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0" w:lineRule="atLeast" w:line="382"/>
    </w:pPr>
    <w:rPr>
      <w:rFonts w:ascii="Inter" w:hAnsi="Inter" w:eastAsia="Inter" w:cs="Inter"/>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88" w:after="210" w:lineRule="atLeast" w:line="546"/>
      <w:outlineLvl w:val="0"/>
    </w:pPr>
    <w:rPr>
      <w:rFonts w:ascii="Inter" w:hAnsi="Inter" w:eastAsia="Inter" w:cs="Inter"/>
      <w:b/>
      <w:bCs/>
      <w:color w:val="212529"/>
      <w:sz w:val="42"/>
      <w:szCs w:val="28"/>
    </w:rPr>
  </w:style>
  <w:style w:type="paragraph" w:styleId="Heading2">
    <w:name w:val="heading 2"/>
    <w:basedOn w:val="Normal"/>
    <w:next w:val="Normal"/>
    <w:link w:val="Heading2Char"/>
    <w:uiPriority w:val="9"/>
    <w:unhideWhenUsed/>
    <w:qFormat/>
    <w:rsid w:val="00FC693F"/>
    <w:pPr>
      <w:keepNext/>
      <w:keepLines/>
      <w:spacing w:before="470" w:after="168" w:lineRule="atLeast" w:line="437"/>
      <w:outlineLvl w:val="1"/>
    </w:pPr>
    <w:rPr>
      <w:rFonts w:ascii="Inter" w:hAnsi="Inter" w:eastAsia="Inter" w:cs="Inter"/>
      <w:b/>
      <w:bCs/>
      <w:color w:val="212529"/>
      <w:sz w:val="33"/>
      <w:szCs w:val="26"/>
    </w:rPr>
  </w:style>
  <w:style w:type="paragraph" w:styleId="Heading3">
    <w:name w:val="heading 3"/>
    <w:basedOn w:val="Normal"/>
    <w:next w:val="Normal"/>
    <w:link w:val="Heading3Char"/>
    <w:uiPriority w:val="9"/>
    <w:unhideWhenUsed/>
    <w:qFormat/>
    <w:rsid w:val="00FC693F"/>
    <w:pPr>
      <w:keepNext/>
      <w:keepLines/>
      <w:spacing w:before="386" w:after="138" w:lineRule="atLeast" w:line="359"/>
      <w:outlineLvl w:val="2"/>
    </w:pPr>
    <w:rPr>
      <w:rFonts w:ascii="Inter" w:hAnsi="Inter" w:eastAsia="Inter" w:cs="Inter"/>
      <w:b/>
      <w:bCs/>
      <w:color w:val="212529"/>
      <w:sz w:val="27"/>
    </w:rPr>
  </w:style>
  <w:style w:type="paragraph" w:styleId="Heading4">
    <w:name w:val="heading 4"/>
    <w:basedOn w:val="Normal"/>
    <w:next w:val="Normal"/>
    <w:link w:val="Heading4Char"/>
    <w:uiPriority w:val="9"/>
    <w:semiHidden/>
    <w:unhideWhenUsed/>
    <w:qFormat/>
    <w:rsid w:val="00FC693F"/>
    <w:pPr>
      <w:keepNext/>
      <w:keepLines/>
      <w:spacing w:before="298" w:after="100" w:lineRule="atLeast" w:line="322"/>
      <w:outlineLvl w:val="3"/>
    </w:pPr>
    <w:rPr>
      <w:rFonts w:ascii="Inter" w:hAnsi="Inter" w:eastAsia="Inter" w:cs="Inter"/>
      <w:b/>
      <w:bCs/>
      <w:i/>
      <w:iCs/>
      <w:color w:val="212529"/>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10" w:line="468" w:lineRule="atLeast" w:before="588"/>
      <w:contextualSpacing/>
    </w:pPr>
    <w:rPr>
      <w:rFonts w:ascii="Inter" w:hAnsi="Inter" w:eastAsia="Inter" w:cs="Inter"/>
      <w:b/>
      <w:color w:val="21252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style>
  <w:style w:type="paragraph" w:styleId="ListBullet2">
    <w:name w:val="List Bullet 2"/>
    <w:basedOn w:val="Normal"/>
    <w:uiPriority w:val="99"/>
    <w:unhideWhenUsed/>
    <w:rsid w:val="00326F90"/>
    <w:pPr>
      <w:numPr>
        <w:numId w:val="2"/>
      </w:numPr>
      <w:spacing w:after="12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style>
  <w:style w:type="paragraph" w:styleId="ListNumber2">
    <w:name w:val="List Number 2"/>
    <w:basedOn w:val="Normal"/>
    <w:uiPriority w:val="99"/>
    <w:unhideWhenUsed/>
    <w:rsid w:val="0029639D"/>
    <w:pPr>
      <w:numPr>
        <w:numId w:val="6"/>
      </w:numPr>
      <w:spacing w:after="120"/>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SODOO Yazılım Lisans, Kurulum ve Hizmet Sözleşmesi</dc:title>
  <dc:subject/>
  <dc:creator>SODOO</dc:creator>
  <cp:keywords/>
  <dc:description>generated by python-docx</dc:description>
  <cp:lastModifiedBy/>
  <cp:revision>1</cp:revision>
  <dcterms:created xsi:type="dcterms:W3CDTF">2013-12-23T23:15:00Z</dcterms:created>
  <dcterms:modified xsi:type="dcterms:W3CDTF">2013-12-23T23:15:00Z</dcterms:modified>
  <cp:category/>
</cp:coreProperties>
</file>